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rPr>
          <w:rFonts w:eastAsia="宋体"/>
          <w:sz w:val="22"/>
          <w:szCs w:val="22"/>
          <w:lang w:eastAsia="zh-CN"/>
        </w:rPr>
      </w:pPr>
      <w:r>
        <w:rPr>
          <w:sz w:val="22"/>
          <w:szCs w:val="22"/>
        </w:rPr>
        <w:t>3GPP TSG RAN WG1</w:t>
      </w:r>
      <w:r>
        <w:rPr>
          <w:rFonts w:hint="eastAsia" w:asciiTheme="minorEastAsia" w:hAnsiTheme="minorEastAsia" w:eastAsiaTheme="minorEastAsia"/>
          <w:sz w:val="22"/>
          <w:szCs w:val="22"/>
          <w:lang w:eastAsia="zh-CN"/>
        </w:rPr>
        <w:t xml:space="preserve"> </w:t>
      </w:r>
      <w:r>
        <w:rPr>
          <w:sz w:val="22"/>
          <w:szCs w:val="22"/>
        </w:rPr>
        <w:t>Meeting #10</w:t>
      </w:r>
      <w:r>
        <w:rPr>
          <w:rFonts w:hint="eastAsia" w:eastAsia="宋体"/>
          <w:sz w:val="22"/>
          <w:szCs w:val="22"/>
          <w:lang w:eastAsia="zh-CN"/>
        </w:rPr>
        <w:t>9</w:t>
      </w:r>
      <w:r>
        <w:rPr>
          <w:sz w:val="22"/>
          <w:szCs w:val="22"/>
        </w:rPr>
        <w:t xml:space="preserve">-e        </w:t>
      </w:r>
      <w:r>
        <w:rPr>
          <w:rFonts w:hint="eastAsia"/>
          <w:sz w:val="22"/>
          <w:szCs w:val="22"/>
        </w:rPr>
        <w:t xml:space="preserve">                              </w:t>
      </w:r>
      <w:r>
        <w:rPr>
          <w:sz w:val="22"/>
          <w:szCs w:val="22"/>
        </w:rPr>
        <w:t xml:space="preserve">                 </w:t>
      </w:r>
      <w:r>
        <w:rPr>
          <w:rFonts w:hint="eastAsia"/>
          <w:sz w:val="22"/>
          <w:szCs w:val="22"/>
        </w:rPr>
        <w:t xml:space="preserve">             </w:t>
      </w:r>
      <w:r>
        <w:rPr>
          <w:rFonts w:hint="eastAsia" w:eastAsia="宋体"/>
          <w:sz w:val="22"/>
          <w:szCs w:val="22"/>
          <w:lang w:eastAsia="zh-CN"/>
        </w:rPr>
        <w:t xml:space="preserve"> </w:t>
      </w:r>
      <w:r>
        <w:rPr>
          <w:sz w:val="22"/>
          <w:szCs w:val="22"/>
        </w:rPr>
        <w:t>R1-</w:t>
      </w:r>
      <w:r>
        <w:rPr>
          <w:rFonts w:hint="eastAsia" w:eastAsia="宋体"/>
          <w:sz w:val="22"/>
          <w:szCs w:val="22"/>
          <w:lang w:eastAsia="zh-CN"/>
        </w:rPr>
        <w:t>2203250</w:t>
      </w:r>
    </w:p>
    <w:p>
      <w:pPr>
        <w:snapToGrid w:val="0"/>
        <w:spacing w:line="240" w:lineRule="auto"/>
        <w:rPr>
          <w:rFonts w:ascii="Arial" w:hAnsi="Arial"/>
          <w:b/>
        </w:rPr>
      </w:pPr>
      <w:r>
        <w:rPr>
          <w:rFonts w:hint="eastAsia" w:ascii="Arial" w:hAnsi="Arial"/>
          <w:b/>
        </w:rPr>
        <w:t>e</w:t>
      </w:r>
      <w:r>
        <w:rPr>
          <w:rFonts w:ascii="Arial" w:hAnsi="Arial"/>
          <w:b/>
        </w:rPr>
        <w:t>-Meeting</w:t>
      </w:r>
      <w:r>
        <w:rPr>
          <w:rFonts w:ascii="Arial" w:hAnsi="Arial"/>
          <w:b/>
          <w:lang w:eastAsia="ja-JP"/>
        </w:rPr>
        <w:t>,</w:t>
      </w:r>
      <w:r>
        <w:rPr>
          <w:rFonts w:hint="eastAsia" w:ascii="Arial" w:hAnsi="Arial"/>
          <w:b/>
          <w:lang w:eastAsia="ja-JP"/>
        </w:rPr>
        <w:t xml:space="preserve"> </w:t>
      </w:r>
      <w:r>
        <w:rPr>
          <w:rFonts w:hint="eastAsia" w:ascii="Arial" w:hAnsi="Arial"/>
          <w:b/>
        </w:rPr>
        <w:t>May</w:t>
      </w:r>
      <w:r>
        <w:rPr>
          <w:rFonts w:ascii="Arial" w:hAnsi="Arial"/>
          <w:b/>
          <w:lang w:eastAsia="ja-JP"/>
        </w:rPr>
        <w:t xml:space="preserve"> </w:t>
      </w:r>
      <w:r>
        <w:rPr>
          <w:rFonts w:hint="eastAsia" w:ascii="Arial" w:hAnsi="Arial"/>
          <w:b/>
        </w:rPr>
        <w:t>9</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20</w:t>
      </w:r>
      <w:r>
        <w:rPr>
          <w:rFonts w:hint="eastAsia" w:ascii="Arial" w:hAnsi="Arial"/>
          <w:b/>
          <w:vertAlign w:val="superscript"/>
        </w:rPr>
        <w:t>th</w:t>
      </w:r>
      <w:r>
        <w:rPr>
          <w:rFonts w:hint="eastAsia" w:ascii="Arial" w:hAnsi="Arial"/>
          <w:b/>
          <w:lang w:eastAsia="ja-JP"/>
        </w:rPr>
        <w:t>, 20</w:t>
      </w:r>
      <w:r>
        <w:rPr>
          <w:rFonts w:ascii="Arial" w:hAnsi="Arial"/>
          <w:b/>
          <w:lang w:eastAsia="ja-JP"/>
        </w:rPr>
        <w:t>2</w:t>
      </w:r>
      <w:r>
        <w:rPr>
          <w:rFonts w:hint="eastAsia" w:ascii="Arial" w:hAnsi="Arial"/>
          <w:b/>
        </w:rPr>
        <w:t>2</w:t>
      </w:r>
    </w:p>
    <w:p>
      <w:pPr>
        <w:snapToGrid w:val="0"/>
        <w:spacing w:after="0" w:line="240" w:lineRule="auto"/>
        <w:rPr>
          <w:rFonts w:ascii="Arial" w:hAnsi="Arial"/>
          <w:b/>
        </w:rPr>
      </w:pPr>
      <w:r>
        <w:rPr>
          <w:rFonts w:hint="eastAsia" w:ascii="Arial" w:hAnsi="Arial" w:eastAsia="MS Mincho"/>
          <w:b/>
          <w:lang w:eastAsia="ja-JP"/>
        </w:rPr>
        <w:t>Source:              ZTE</w:t>
      </w:r>
      <w:r>
        <w:rPr>
          <w:rFonts w:hint="eastAsia" w:ascii="Arial" w:hAnsi="Arial"/>
          <w:b/>
        </w:rPr>
        <w:t xml:space="preserve"> Corporation</w:t>
      </w:r>
    </w:p>
    <w:p>
      <w:pPr>
        <w:pStyle w:val="18"/>
        <w:tabs>
          <w:tab w:val="clear" w:pos="4536"/>
        </w:tabs>
        <w:snapToGrid w:val="0"/>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sz w:val="22"/>
          <w:szCs w:val="22"/>
        </w:rPr>
        <w:t xml:space="preserve">Evaluation assumptions on AI/ML for </w:t>
      </w:r>
      <w:r>
        <w:rPr>
          <w:rFonts w:hint="eastAsia" w:eastAsia="宋体"/>
          <w:sz w:val="22"/>
          <w:szCs w:val="22"/>
          <w:lang w:eastAsia="zh-CN"/>
        </w:rPr>
        <w:t>beam management</w:t>
      </w:r>
    </w:p>
    <w:p>
      <w:pPr>
        <w:pStyle w:val="18"/>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9.2.3.1</w:t>
      </w:r>
    </w:p>
    <w:p>
      <w:pPr>
        <w:pStyle w:val="18"/>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b/>
          <w:sz w:val="28"/>
          <w:szCs w:val="28"/>
        </w:rPr>
        <w:t>Introduction</w:t>
      </w:r>
    </w:p>
    <w:p>
      <w:pPr>
        <w:snapToGrid w:val="0"/>
        <w:spacing w:before="72" w:beforeLines="30" w:after="72" w:afterLines="30" w:line="288" w:lineRule="auto"/>
        <w:jc w:val="both"/>
        <w:rPr>
          <w:rFonts w:eastAsia="微软雅黑"/>
          <w:sz w:val="20"/>
          <w:szCs w:val="20"/>
        </w:rPr>
      </w:pPr>
      <w:r>
        <w:rPr>
          <w:rFonts w:hint="eastAsia" w:eastAsia="微软雅黑"/>
          <w:sz w:val="20"/>
          <w:szCs w:val="20"/>
        </w:rPr>
        <w:t>In RAN#94-e,  an AI/ML SI [1] was approved, and some objectives are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6" w:hRule="atLeast"/>
        </w:trPr>
        <w:tc>
          <w:tcPr>
            <w:tcW w:w="9576" w:type="dxa"/>
          </w:tcPr>
          <w:p>
            <w:pPr>
              <w:spacing w:after="0"/>
              <w:rPr>
                <w:bCs/>
                <w:sz w:val="20"/>
                <w:szCs w:val="20"/>
              </w:rPr>
            </w:pPr>
            <w:r>
              <w:rPr>
                <w:rFonts w:hint="eastAsia"/>
                <w:bCs/>
                <w:sz w:val="20"/>
                <w:szCs w:val="20"/>
              </w:rPr>
              <w:t>...</w:t>
            </w:r>
          </w:p>
          <w:p>
            <w:pPr>
              <w:spacing w:after="0"/>
              <w:rPr>
                <w:bCs/>
                <w:sz w:val="20"/>
                <w:szCs w:val="20"/>
              </w:rPr>
            </w:pPr>
            <w:r>
              <w:rPr>
                <w:bCs/>
                <w:sz w:val="20"/>
                <w:szCs w:val="20"/>
              </w:rPr>
              <w:t xml:space="preserve">Use cases to focus on: </w:t>
            </w:r>
          </w:p>
          <w:p>
            <w:pPr>
              <w:numPr>
                <w:ilvl w:val="0"/>
                <w:numId w:val="6"/>
              </w:numPr>
              <w:spacing w:after="0"/>
              <w:rPr>
                <w:bCs/>
                <w:sz w:val="20"/>
                <w:szCs w:val="20"/>
              </w:rPr>
            </w:pPr>
            <w:r>
              <w:rPr>
                <w:bCs/>
                <w:sz w:val="20"/>
                <w:szCs w:val="20"/>
              </w:rPr>
              <w:t xml:space="preserve">Initial set of use cases includes: </w:t>
            </w:r>
          </w:p>
          <w:p>
            <w:pPr>
              <w:numPr>
                <w:ilvl w:val="1"/>
                <w:numId w:val="6"/>
              </w:numPr>
              <w:overflowPunct w:val="0"/>
              <w:autoSpaceDE w:val="0"/>
              <w:autoSpaceDN w:val="0"/>
              <w:adjustRightInd w:val="0"/>
              <w:spacing w:after="0" w:line="240" w:lineRule="auto"/>
              <w:textAlignment w:val="baseline"/>
              <w:rPr>
                <w:rFonts w:eastAsia="Times New Roman"/>
                <w:bCs/>
                <w:sz w:val="20"/>
                <w:szCs w:val="20"/>
                <w:lang w:val="en-GB" w:eastAsia="en-GB"/>
              </w:rPr>
            </w:pPr>
            <w:r>
              <w:rPr>
                <w:rFonts w:eastAsia="Times New Roman"/>
                <w:bCs/>
                <w:sz w:val="20"/>
                <w:szCs w:val="20"/>
                <w:lang w:val="en-GB" w:eastAsia="en-GB"/>
              </w:rPr>
              <w:t xml:space="preserve">Beam management, e.g., </w:t>
            </w:r>
            <w:r>
              <w:rPr>
                <w:rFonts w:eastAsia="Times New Roman"/>
                <w:sz w:val="20"/>
                <w:szCs w:val="20"/>
                <w:lang w:val="en-GB" w:eastAsia="en-GB"/>
              </w:rPr>
              <w:t>beam prediction in time,</w:t>
            </w:r>
            <w:r>
              <w:rPr>
                <w:rFonts w:eastAsia="Times New Roman"/>
                <w:sz w:val="20"/>
                <w:szCs w:val="20"/>
                <w:shd w:val="clear" w:color="auto" w:fill="FFFFFF"/>
                <w:lang w:val="en-GB" w:eastAsia="en-GB"/>
              </w:rPr>
              <w:t> and/or </w:t>
            </w:r>
            <w:r>
              <w:rPr>
                <w:rFonts w:eastAsia="Times New Roman"/>
                <w:sz w:val="20"/>
                <w:szCs w:val="20"/>
                <w:lang w:val="en-GB" w:eastAsia="en-GB"/>
              </w:rPr>
              <w:t>spatial domain</w:t>
            </w:r>
            <w:r>
              <w:rPr>
                <w:rFonts w:eastAsia="Times New Roman"/>
                <w:sz w:val="20"/>
                <w:szCs w:val="20"/>
                <w:shd w:val="clear" w:color="auto" w:fill="FFFFFF"/>
                <w:lang w:val="en-GB" w:eastAsia="en-GB"/>
              </w:rPr>
              <w:t> for overhead and latency reduction, beam selection accuracy improvement [RAN1]</w:t>
            </w:r>
          </w:p>
          <w:p>
            <w:pPr>
              <w:snapToGrid w:val="0"/>
              <w:spacing w:before="120" w:after="120" w:afterLines="50" w:line="240" w:lineRule="auto"/>
              <w:jc w:val="both"/>
              <w:rPr>
                <w:bCs/>
                <w:sz w:val="20"/>
                <w:szCs w:val="20"/>
              </w:rPr>
            </w:pPr>
            <w:r>
              <w:rPr>
                <w:rFonts w:hint="eastAsia"/>
                <w:bCs/>
                <w:sz w:val="20"/>
                <w:szCs w:val="20"/>
              </w:rPr>
              <w:t>...</w:t>
            </w:r>
          </w:p>
          <w:p>
            <w:pPr>
              <w:spacing w:after="0"/>
              <w:rPr>
                <w:bCs/>
                <w:sz w:val="20"/>
                <w:szCs w:val="20"/>
              </w:rPr>
            </w:pPr>
            <w:r>
              <w:rPr>
                <w:bCs/>
                <w:sz w:val="20"/>
                <w:szCs w:val="20"/>
              </w:rPr>
              <w:t>For the use cases under consideration:</w:t>
            </w:r>
          </w:p>
          <w:p>
            <w:pPr>
              <w:numPr>
                <w:ilvl w:val="0"/>
                <w:numId w:val="7"/>
              </w:numPr>
              <w:spacing w:after="0"/>
              <w:rPr>
                <w:bCs/>
                <w:sz w:val="20"/>
                <w:szCs w:val="20"/>
              </w:rPr>
            </w:pPr>
            <w:r>
              <w:rPr>
                <w:bCs/>
                <w:sz w:val="20"/>
                <w:szCs w:val="20"/>
              </w:rPr>
              <w:t>Evaluate performance benefits of AI/ML based algorithms for the agreed use cases in the final representative set:</w:t>
            </w:r>
          </w:p>
          <w:p>
            <w:pPr>
              <w:numPr>
                <w:ilvl w:val="1"/>
                <w:numId w:val="6"/>
              </w:numPr>
              <w:spacing w:after="0"/>
              <w:rPr>
                <w:bCs/>
                <w:sz w:val="20"/>
                <w:szCs w:val="20"/>
              </w:rPr>
            </w:pPr>
            <w:r>
              <w:rPr>
                <w:bCs/>
                <w:sz w:val="20"/>
                <w:szCs w:val="20"/>
              </w:rPr>
              <w:t xml:space="preserve">Methodology based on statistical models (from TR 38.901 and TR 38.857 [positioning]), for link and system level simulations. </w:t>
            </w:r>
          </w:p>
          <w:p>
            <w:pPr>
              <w:numPr>
                <w:ilvl w:val="2"/>
                <w:numId w:val="6"/>
              </w:numPr>
              <w:spacing w:after="0"/>
              <w:rPr>
                <w:bCs/>
                <w:sz w:val="20"/>
                <w:szCs w:val="20"/>
              </w:rPr>
            </w:pPr>
            <w:r>
              <w:rPr>
                <w:bCs/>
                <w:sz w:val="20"/>
                <w:szCs w:val="20"/>
              </w:rPr>
              <w:t>Extensions of 3GPP evaluation methodology for better suitability to AI/ML based techniques should be considered as needed.</w:t>
            </w:r>
          </w:p>
          <w:p>
            <w:pPr>
              <w:numPr>
                <w:ilvl w:val="2"/>
                <w:numId w:val="6"/>
              </w:numPr>
              <w:spacing w:after="0"/>
              <w:rPr>
                <w:bCs/>
                <w:sz w:val="20"/>
                <w:szCs w:val="20"/>
              </w:rPr>
            </w:pPr>
            <w:r>
              <w:rPr>
                <w:bCs/>
                <w:sz w:val="20"/>
                <w:szCs w:val="20"/>
              </w:rPr>
              <w:t xml:space="preserve">Whether field data are optionally needed to further assess the performance and robustness in real-world environments should be discussed as part of the study. </w:t>
            </w:r>
          </w:p>
          <w:p>
            <w:pPr>
              <w:numPr>
                <w:ilvl w:val="2"/>
                <w:numId w:val="6"/>
              </w:numPr>
              <w:spacing w:after="0"/>
              <w:rPr>
                <w:bCs/>
                <w:sz w:val="20"/>
                <w:szCs w:val="20"/>
              </w:rPr>
            </w:pPr>
            <w:r>
              <w:rPr>
                <w:bCs/>
                <w:sz w:val="20"/>
                <w:szCs w:val="20"/>
              </w:rPr>
              <w:t xml:space="preserve">Need for common assumptions in dataset construction for training, validation and test for the selected use cases. </w:t>
            </w:r>
          </w:p>
          <w:p>
            <w:pPr>
              <w:numPr>
                <w:ilvl w:val="2"/>
                <w:numId w:val="6"/>
              </w:numPr>
              <w:spacing w:after="0"/>
              <w:rPr>
                <w:bCs/>
                <w:sz w:val="20"/>
                <w:szCs w:val="20"/>
              </w:rPr>
            </w:pPr>
            <w:r>
              <w:rPr>
                <w:bCs/>
                <w:sz w:val="20"/>
                <w:szCs w:val="20"/>
              </w:rPr>
              <w:t>Consider adequate model training strategy, collaboration levels and associated implications</w:t>
            </w:r>
          </w:p>
          <w:p>
            <w:pPr>
              <w:numPr>
                <w:ilvl w:val="2"/>
                <w:numId w:val="6"/>
              </w:numPr>
              <w:spacing w:after="0"/>
              <w:rPr>
                <w:bCs/>
                <w:sz w:val="20"/>
                <w:szCs w:val="20"/>
              </w:rPr>
            </w:pPr>
            <w:r>
              <w:rPr>
                <w:bCs/>
                <w:sz w:val="20"/>
                <w:szCs w:val="20"/>
              </w:rPr>
              <w:t>Consider agreed-upon base AI model(s) for calibration</w:t>
            </w:r>
          </w:p>
          <w:p>
            <w:pPr>
              <w:numPr>
                <w:ilvl w:val="2"/>
                <w:numId w:val="6"/>
              </w:numPr>
              <w:spacing w:after="0"/>
              <w:rPr>
                <w:bCs/>
                <w:sz w:val="20"/>
                <w:szCs w:val="20"/>
              </w:rPr>
            </w:pPr>
            <w:r>
              <w:rPr>
                <w:bCs/>
                <w:sz w:val="20"/>
                <w:szCs w:val="20"/>
              </w:rPr>
              <w:t>AI model description and training methodology used for evaluation should be reported for information and cross-checking purposes</w:t>
            </w:r>
          </w:p>
          <w:p>
            <w:pPr>
              <w:numPr>
                <w:ilvl w:val="1"/>
                <w:numId w:val="6"/>
              </w:numPr>
              <w:spacing w:after="0"/>
              <w:rPr>
                <w:bCs/>
                <w:sz w:val="20"/>
                <w:szCs w:val="20"/>
              </w:rPr>
            </w:pPr>
            <w:r>
              <w:rPr>
                <w:bCs/>
                <w:sz w:val="20"/>
                <w:szCs w:val="20"/>
              </w:rPr>
              <w:t>KPIs: Determine the common KPIs and corresponding requirements for the AI/ML operations. Determine the use-case specific KPIs and benchmarks of the selected use-cases.</w:t>
            </w:r>
          </w:p>
          <w:p>
            <w:pPr>
              <w:numPr>
                <w:ilvl w:val="2"/>
                <w:numId w:val="6"/>
              </w:numPr>
              <w:spacing w:after="0"/>
              <w:rPr>
                <w:bCs/>
                <w:sz w:val="20"/>
                <w:szCs w:val="20"/>
              </w:rPr>
            </w:pPr>
            <w:r>
              <w:rPr>
                <w:bCs/>
                <w:sz w:val="20"/>
                <w:szCs w:val="20"/>
              </w:rPr>
              <w:t>Performance, inference latency and computational complexity of AI/ML based algorithms should be compared to that of a state-of-the-art baseline</w:t>
            </w:r>
          </w:p>
          <w:p>
            <w:pPr>
              <w:numPr>
                <w:ilvl w:val="2"/>
                <w:numId w:val="6"/>
              </w:numPr>
              <w:spacing w:after="0"/>
              <w:rPr>
                <w:bCs/>
                <w:sz w:val="20"/>
                <w:szCs w:val="20"/>
              </w:rPr>
            </w:pPr>
            <w:r>
              <w:rPr>
                <w:bCs/>
                <w:sz w:val="20"/>
                <w:szCs w:val="20"/>
              </w:rPr>
              <w:t>Overhead, power consumption (including computational), memory storage, and hardware requirements (including for given processing delays) associated with enabling respective AI/ML scheme, as well as generalization capability should be considere</w:t>
            </w:r>
            <w:r>
              <w:rPr>
                <w:rFonts w:hint="eastAsia"/>
                <w:bCs/>
                <w:sz w:val="20"/>
                <w:szCs w:val="20"/>
              </w:rPr>
              <w:t>d</w:t>
            </w:r>
          </w:p>
        </w:tc>
      </w:tr>
    </w:tbl>
    <w:p>
      <w:pPr>
        <w:snapToGrid w:val="0"/>
        <w:spacing w:before="72" w:beforeLines="30" w:after="72" w:afterLines="30" w:line="288" w:lineRule="auto"/>
        <w:jc w:val="both"/>
        <w:rPr>
          <w:rFonts w:eastAsia="微软雅黑"/>
          <w:sz w:val="20"/>
          <w:szCs w:val="20"/>
        </w:rPr>
      </w:pPr>
      <w:r>
        <w:rPr>
          <w:rFonts w:hint="eastAsia" w:eastAsia="微软雅黑"/>
          <w:sz w:val="20"/>
          <w:szCs w:val="20"/>
        </w:rPr>
        <w:t>In this contribution, we</w:t>
      </w:r>
      <w:r>
        <w:rPr>
          <w:rFonts w:eastAsia="微软雅黑"/>
          <w:sz w:val="20"/>
          <w:szCs w:val="20"/>
        </w:rPr>
        <w:t>’</w:t>
      </w:r>
      <w:r>
        <w:rPr>
          <w:rFonts w:hint="eastAsia" w:eastAsia="微软雅黑"/>
          <w:sz w:val="20"/>
          <w:szCs w:val="20"/>
        </w:rPr>
        <w:t xml:space="preserve">ll discuss </w:t>
      </w:r>
      <w:r>
        <w:rPr>
          <w:rFonts w:hint="eastAsia" w:eastAsia="Times New Roman"/>
          <w:sz w:val="20"/>
          <w:szCs w:val="20"/>
        </w:rPr>
        <w:t>the feasibility of applying AI/ML techniques to beam management and conduct preliminary evaluations on its performance through system level simulations.</w:t>
      </w:r>
    </w:p>
    <w:p>
      <w:pPr>
        <w:snapToGrid w:val="0"/>
        <w:spacing w:before="120" w:after="120" w:afterLines="50" w:line="240" w:lineRule="auto"/>
        <w:jc w:val="both"/>
        <w:rPr>
          <w:rFonts w:eastAsia="微软雅黑"/>
          <w:sz w:val="20"/>
          <w:szCs w:val="20"/>
          <w:lang w:val="en-GB"/>
        </w:rPr>
      </w:pPr>
      <w:r>
        <w:rPr>
          <w:rFonts w:eastAsia="微软雅黑"/>
          <w:sz w:val="20"/>
          <w:szCs w:val="20"/>
          <w:lang w:val="en-GB"/>
        </w:rPr>
        <w:t xml:space="preserve"> </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Selected sub use cases</w:t>
      </w:r>
    </w:p>
    <w:p>
      <w:pPr>
        <w:spacing w:before="72" w:beforeLines="30" w:after="72" w:afterLines="30" w:line="288" w:lineRule="auto"/>
        <w:jc w:val="both"/>
        <w:rPr>
          <w:rFonts w:eastAsia="Times New Roman"/>
          <w:sz w:val="20"/>
          <w:szCs w:val="20"/>
        </w:rPr>
      </w:pPr>
      <w:r>
        <w:rPr>
          <w:rFonts w:hint="eastAsia" w:eastAsia="Times New Roman"/>
          <w:sz w:val="20"/>
          <w:szCs w:val="20"/>
        </w:rPr>
        <w:t>Beam sweeping is a process in which a base station or UE in turn covers a spatial area with different analog beams. During beam sweeping, the base station or UE sequentially sends beams from a predefined finite-size codebook in order to find favorable transceiver beam pairs for data and control channels. The traditional brute-force beam search approach exhaustively sweeps all the transmitting and receiving beam pairs in the codebook, which results in excessively resource overhead, measurement power consumption and latency. To address this problem, we explore the feasibility of applying AI/ML techniques to beam prediction in this contribution, and conduct preliminary evaluations on its performance through system level simulations.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1: </w:t>
      </w:r>
      <w:r>
        <w:rPr>
          <w:rFonts w:hint="eastAsia" w:eastAsia="Times New Roman"/>
          <w:i/>
          <w:iCs/>
          <w:sz w:val="20"/>
          <w:szCs w:val="20"/>
        </w:rPr>
        <w:t xml:space="preserve">The traditional brute-force beam search approach exhaustively sweeps all the transmitting and receiving beam pairs in the codebook, which results in excessively resource overhead, measurement power consumption and latency. </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AI/ML for spatial-domain beam prediction</w:t>
      </w:r>
    </w:p>
    <w:p>
      <w:pPr>
        <w:spacing w:before="72" w:beforeLines="30" w:after="72" w:afterLines="30" w:line="288" w:lineRule="auto"/>
        <w:jc w:val="both"/>
        <w:rPr>
          <w:rFonts w:eastAsia="Times New Roman"/>
          <w:sz w:val="20"/>
          <w:szCs w:val="20"/>
        </w:rPr>
      </w:pPr>
      <w:r>
        <w:rPr>
          <w:rFonts w:eastAsia="Times New Roman"/>
          <w:sz w:val="20"/>
          <w:szCs w:val="20"/>
        </w:rPr>
        <w:t xml:space="preserve">To reduce beam training overhead, we treat </w:t>
      </w:r>
      <w:r>
        <w:rPr>
          <w:rFonts w:hint="eastAsia" w:eastAsia="Times New Roman"/>
          <w:sz w:val="20"/>
          <w:szCs w:val="20"/>
        </w:rPr>
        <w:t>the spatial-domain beam prediction</w:t>
      </w:r>
      <w:r>
        <w:rPr>
          <w:rFonts w:eastAsia="Times New Roman"/>
          <w:sz w:val="20"/>
          <w:szCs w:val="20"/>
        </w:rPr>
        <w:t xml:space="preserve"> as an inference problem, in which measurements of a</w:t>
      </w:r>
      <w:r>
        <w:rPr>
          <w:rFonts w:hint="eastAsia" w:eastAsia="Times New Roman"/>
          <w:sz w:val="20"/>
          <w:szCs w:val="20"/>
        </w:rPr>
        <w:t xml:space="preserve"> beam</w:t>
      </w:r>
      <w:r>
        <w:rPr>
          <w:rFonts w:eastAsia="Times New Roman"/>
          <w:sz w:val="20"/>
          <w:szCs w:val="20"/>
        </w:rPr>
        <w:t xml:space="preserve"> subset</w:t>
      </w:r>
      <w:r>
        <w:rPr>
          <w:rFonts w:hint="eastAsia" w:eastAsia="Times New Roman"/>
          <w:sz w:val="20"/>
          <w:szCs w:val="20"/>
        </w:rPr>
        <w:t xml:space="preserve"> </w:t>
      </w:r>
      <w:r>
        <w:rPr>
          <w:rFonts w:eastAsia="Times New Roman"/>
          <w:sz w:val="20"/>
          <w:szCs w:val="20"/>
        </w:rPr>
        <w:t xml:space="preserve">are taken as input and the channel quality of all beams as output. Besides, due to stronger computing power and comprehensive awareness of the </w:t>
      </w:r>
      <w:r>
        <w:rPr>
          <w:rFonts w:hint="eastAsia" w:eastAsia="Times New Roman"/>
          <w:sz w:val="20"/>
          <w:szCs w:val="20"/>
        </w:rPr>
        <w:t xml:space="preserve">surrounding </w:t>
      </w:r>
      <w:r>
        <w:rPr>
          <w:rFonts w:eastAsia="Times New Roman"/>
          <w:sz w:val="20"/>
          <w:szCs w:val="20"/>
        </w:rPr>
        <w:t xml:space="preserve">environment, AI inference is performed on the gNB side to ensure high prediction accuracy and low </w:t>
      </w:r>
      <w:r>
        <w:rPr>
          <w:rFonts w:hint="eastAsia" w:eastAsia="Times New Roman"/>
          <w:sz w:val="20"/>
          <w:szCs w:val="20"/>
        </w:rPr>
        <w:t xml:space="preserve">processing </w:t>
      </w:r>
      <w:r>
        <w:rPr>
          <w:rFonts w:eastAsia="Times New Roman"/>
          <w:sz w:val="20"/>
          <w:szCs w:val="20"/>
        </w:rPr>
        <w:t xml:space="preserve">delay. </w:t>
      </w:r>
    </w:p>
    <w:p>
      <w:pPr>
        <w:widowControl w:val="0"/>
        <w:snapToGrid w:val="0"/>
        <w:spacing w:before="120" w:after="120" w:afterLines="50" w:line="240" w:lineRule="auto"/>
        <w:jc w:val="both"/>
        <w:rPr>
          <w:rFonts w:eastAsia="微软雅黑"/>
          <w:sz w:val="20"/>
          <w:szCs w:val="20"/>
        </w:rPr>
      </w:pPr>
      <w:r>
        <w:rPr>
          <w:rFonts w:hint="eastAsia" w:eastAsia="微软雅黑"/>
          <w:sz w:val="20"/>
          <w:szCs w:val="20"/>
        </w:rPr>
        <w:drawing>
          <wp:inline distT="0" distB="0" distL="114300" distR="114300">
            <wp:extent cx="5941060" cy="1598930"/>
            <wp:effectExtent l="0" t="0" r="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6"/>
                    <a:stretch>
                      <a:fillRect/>
                    </a:stretch>
                  </pic:blipFill>
                  <pic:spPr>
                    <a:xfrm>
                      <a:off x="0" y="0"/>
                      <a:ext cx="5941060" cy="1598930"/>
                    </a:xfrm>
                    <a:prstGeom prst="rect">
                      <a:avLst/>
                    </a:prstGeom>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rPr>
        <w:t>Figure 2-1. Illustration of AI/ML based spatial-domain beam prediction in 3D beamforming case</w:t>
      </w:r>
    </w:p>
    <w:p>
      <w:pPr>
        <w:spacing w:before="72" w:beforeLines="30" w:after="72" w:afterLines="30" w:line="288" w:lineRule="auto"/>
        <w:jc w:val="both"/>
        <w:rPr>
          <w:rFonts w:eastAsia="Times New Roman"/>
          <w:sz w:val="20"/>
          <w:szCs w:val="20"/>
        </w:rPr>
      </w:pPr>
      <w:r>
        <w:rPr>
          <w:rFonts w:hint="eastAsia" w:eastAsia="Times New Roman"/>
          <w:sz w:val="20"/>
          <w:szCs w:val="20"/>
        </w:rPr>
        <w:t>More s</w:t>
      </w:r>
      <w:r>
        <w:rPr>
          <w:rFonts w:eastAsia="Times New Roman"/>
          <w:sz w:val="20"/>
          <w:szCs w:val="20"/>
        </w:rPr>
        <w:t xml:space="preserve">pecifically, as shown in Figure </w:t>
      </w:r>
      <w:r>
        <w:rPr>
          <w:rFonts w:hint="eastAsia" w:eastAsia="Times New Roman"/>
          <w:sz w:val="20"/>
          <w:szCs w:val="20"/>
        </w:rPr>
        <w:t>2-</w:t>
      </w:r>
      <w:r>
        <w:rPr>
          <w:rFonts w:eastAsia="Times New Roman"/>
          <w:sz w:val="20"/>
          <w:szCs w:val="20"/>
        </w:rPr>
        <w:t>1, the gNB only needs to configure reference signal resources in part of the beam directions, which are obtained by uniformly sampling of the entire beam space. The UE estimates the channel quality of the uniformly sampled partial beams and reports the beam measurement parameters, that is, the reference signal resource index and the corresponding RSRP. Based on the reported beam measurement parameters, the gNB infers the RSRP information of the entire beam space and predicts the optimal beam index with the largest RSRP. Optionally, top-K candidate beams with large</w:t>
      </w:r>
      <w:r>
        <w:rPr>
          <w:rFonts w:hint="eastAsia" w:eastAsia="Times New Roman"/>
          <w:sz w:val="20"/>
          <w:szCs w:val="20"/>
        </w:rPr>
        <w:t xml:space="preserve">st </w:t>
      </w:r>
      <w:r>
        <w:rPr>
          <w:rFonts w:eastAsia="Times New Roman"/>
          <w:sz w:val="20"/>
          <w:szCs w:val="20"/>
        </w:rPr>
        <w:t>predicted RSRP</w:t>
      </w:r>
      <w:r>
        <w:rPr>
          <w:rFonts w:hint="eastAsia" w:eastAsia="Times New Roman"/>
          <w:sz w:val="20"/>
          <w:szCs w:val="20"/>
        </w:rPr>
        <w:t>s</w:t>
      </w:r>
      <w:r>
        <w:rPr>
          <w:rFonts w:eastAsia="Times New Roman"/>
          <w:sz w:val="20"/>
          <w:szCs w:val="20"/>
        </w:rPr>
        <w:t xml:space="preserve"> </w:t>
      </w:r>
      <w:r>
        <w:rPr>
          <w:rFonts w:hint="eastAsia" w:eastAsia="Times New Roman"/>
          <w:sz w:val="20"/>
          <w:szCs w:val="20"/>
        </w:rPr>
        <w:t xml:space="preserve">can be </w:t>
      </w:r>
      <w:r>
        <w:rPr>
          <w:rFonts w:eastAsia="Times New Roman"/>
          <w:sz w:val="20"/>
          <w:szCs w:val="20"/>
        </w:rPr>
        <w:t>filtered out for refined small-range beam sweeping, resulting in a relatively good trade-off between training overhead and performance.</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1: </w:t>
      </w:r>
      <w:r>
        <w:rPr>
          <w:rFonts w:hint="eastAsia" w:eastAsia="Times New Roman"/>
          <w:i/>
          <w:iCs/>
          <w:sz w:val="20"/>
          <w:szCs w:val="20"/>
        </w:rPr>
        <w:t>D</w:t>
      </w:r>
      <w:r>
        <w:rPr>
          <w:rFonts w:eastAsia="Times New Roman"/>
          <w:i/>
          <w:iCs/>
          <w:sz w:val="20"/>
          <w:szCs w:val="20"/>
        </w:rPr>
        <w:t xml:space="preserve">ue to stronger computing power and comprehensive awareness of the </w:t>
      </w:r>
      <w:r>
        <w:rPr>
          <w:rFonts w:hint="eastAsia" w:eastAsia="Times New Roman"/>
          <w:i/>
          <w:iCs/>
          <w:sz w:val="20"/>
          <w:szCs w:val="20"/>
        </w:rPr>
        <w:t xml:space="preserve">surrounding </w:t>
      </w:r>
      <w:r>
        <w:rPr>
          <w:rFonts w:eastAsia="Times New Roman"/>
          <w:i/>
          <w:iCs/>
          <w:sz w:val="20"/>
          <w:szCs w:val="20"/>
        </w:rPr>
        <w:t xml:space="preserve">environment, AI inference is performed on the gNB side to ensure high prediction accuracy and low </w:t>
      </w:r>
      <w:r>
        <w:rPr>
          <w:rFonts w:hint="eastAsia" w:eastAsia="Times New Roman"/>
          <w:i/>
          <w:iCs/>
          <w:sz w:val="20"/>
          <w:szCs w:val="20"/>
        </w:rPr>
        <w:t xml:space="preserve">processing </w:t>
      </w:r>
      <w:r>
        <w:rPr>
          <w:rFonts w:eastAsia="Times New Roman"/>
          <w:i/>
          <w:iCs/>
          <w:sz w:val="20"/>
          <w:szCs w:val="20"/>
        </w:rPr>
        <w:t>delay.</w:t>
      </w:r>
    </w:p>
    <w:p>
      <w:pPr>
        <w:spacing w:before="72" w:beforeLines="30" w:after="72" w:afterLines="30" w:line="288" w:lineRule="auto"/>
        <w:jc w:val="both"/>
        <w:rPr>
          <w:rFonts w:eastAsia="微软雅黑"/>
          <w:i/>
          <w:iCs/>
          <w:sz w:val="20"/>
          <w:szCs w:val="20"/>
        </w:rPr>
      </w:pPr>
      <w:r>
        <w:rPr>
          <w:rFonts w:hint="eastAsia" w:eastAsia="Times New Roman"/>
          <w:b/>
          <w:bCs/>
          <w:i/>
          <w:iCs/>
          <w:sz w:val="20"/>
          <w:szCs w:val="20"/>
        </w:rPr>
        <w:t xml:space="preserve">Proposal 2: </w:t>
      </w:r>
      <w:r>
        <w:rPr>
          <w:rFonts w:hint="eastAsia" w:eastAsia="Times New Roman"/>
          <w:i/>
          <w:iCs/>
          <w:sz w:val="20"/>
          <w:szCs w:val="20"/>
        </w:rPr>
        <w:t>T</w:t>
      </w:r>
      <w:r>
        <w:rPr>
          <w:rFonts w:eastAsia="Times New Roman"/>
          <w:i/>
          <w:iCs/>
          <w:sz w:val="20"/>
          <w:szCs w:val="20"/>
        </w:rPr>
        <w:t xml:space="preserve">op-K candidate beams with higher </w:t>
      </w:r>
      <w:r>
        <w:rPr>
          <w:rFonts w:hint="eastAsia" w:eastAsia="Times New Roman"/>
          <w:i/>
          <w:iCs/>
          <w:sz w:val="20"/>
          <w:szCs w:val="20"/>
        </w:rPr>
        <w:t xml:space="preserve">predicted </w:t>
      </w:r>
      <w:r>
        <w:rPr>
          <w:rFonts w:eastAsia="Times New Roman"/>
          <w:i/>
          <w:iCs/>
          <w:sz w:val="20"/>
          <w:szCs w:val="20"/>
        </w:rPr>
        <w:t xml:space="preserve">RSRP </w:t>
      </w:r>
      <w:r>
        <w:rPr>
          <w:rFonts w:hint="eastAsia" w:eastAsia="Times New Roman"/>
          <w:i/>
          <w:iCs/>
          <w:sz w:val="20"/>
          <w:szCs w:val="20"/>
        </w:rPr>
        <w:t xml:space="preserve">can be </w:t>
      </w:r>
      <w:r>
        <w:rPr>
          <w:rFonts w:eastAsia="Times New Roman"/>
          <w:i/>
          <w:iCs/>
          <w:sz w:val="20"/>
          <w:szCs w:val="20"/>
        </w:rPr>
        <w:t xml:space="preserve">filtered out for </w:t>
      </w:r>
      <w:r>
        <w:rPr>
          <w:rFonts w:hint="eastAsia" w:eastAsia="Times New Roman"/>
          <w:i/>
          <w:iCs/>
          <w:sz w:val="20"/>
          <w:szCs w:val="20"/>
        </w:rPr>
        <w:t xml:space="preserve">refined </w:t>
      </w:r>
      <w:r>
        <w:rPr>
          <w:rFonts w:eastAsia="Times New Roman"/>
          <w:i/>
          <w:iCs/>
          <w:sz w:val="20"/>
          <w:szCs w:val="20"/>
        </w:rPr>
        <w:t>small-range beam sweeping, resulting in a relatively good trade-off between training overhead and performance.</w:t>
      </w: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Model generation and training:</w:t>
      </w:r>
    </w:p>
    <w:p>
      <w:pPr>
        <w:spacing w:before="72" w:beforeLines="30" w:after="72" w:afterLines="30" w:line="288" w:lineRule="auto"/>
        <w:jc w:val="both"/>
        <w:rPr>
          <w:rFonts w:eastAsia="Times New Roman"/>
          <w:sz w:val="20"/>
          <w:szCs w:val="20"/>
        </w:rPr>
      </w:pPr>
      <w:r>
        <w:rPr>
          <w:rFonts w:hint="eastAsia" w:eastAsia="Times New Roman"/>
          <w:sz w:val="20"/>
          <w:szCs w:val="20"/>
        </w:rPr>
        <w:t>Deep neutral network is exploited for the spatial-domain beam prediction due to its excellent ability on classification tasks and learning complex nonlinear relationships. The entire spatial-domain beam prediction process is divided into two phases, namely the training phase and the inference phase. During the training phase, the training data is fed to the AI model in a supervised learning manner and the model generalizes to a hypothesis based on back propagation. Multiple samples are collected for model training, including normalized RSRP of uniformly sampled partial beams as input and RSRP of optimal beams as classification labels. When the AI model has been trained with sufficient data, it switches to the inference phase and predicts the optimal beam index. As a result, beam training overhead can be significantly reduced by avoiding exhaustive beam sweeping.</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w:t>
      </w:r>
      <w:r>
        <w:rPr>
          <w:rFonts w:eastAsia="Times New Roman"/>
          <w:b/>
          <w:bCs/>
          <w:i/>
          <w:iCs/>
          <w:sz w:val="20"/>
          <w:szCs w:val="20"/>
        </w:rPr>
        <w:t>al 3:</w:t>
      </w:r>
      <w:r>
        <w:rPr>
          <w:rFonts w:hint="eastAsia" w:eastAsia="Times New Roman"/>
          <w:b/>
          <w:bCs/>
          <w:i/>
          <w:iCs/>
          <w:sz w:val="20"/>
          <w:szCs w:val="20"/>
        </w:rPr>
        <w:t xml:space="preserve"> </w:t>
      </w:r>
      <w:r>
        <w:rPr>
          <w:rFonts w:hint="eastAsia" w:eastAsia="Times New Roman"/>
          <w:i/>
          <w:iCs/>
          <w:sz w:val="20"/>
          <w:szCs w:val="20"/>
        </w:rPr>
        <w:t>Deep neutral network is exploited for the spatial-domain beam prediction due to its excellent ability on classification tasks and learning complex nonlinear relationships.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4: </w:t>
      </w:r>
      <w:r>
        <w:rPr>
          <w:rFonts w:hint="eastAsia" w:eastAsia="Times New Roman"/>
          <w:i/>
          <w:iCs/>
          <w:sz w:val="20"/>
          <w:szCs w:val="20"/>
        </w:rPr>
        <w:t>AI/ML based spatial-domain beam prediction can significantly reduce the beam training overhead by avoiding exhaustive beam sweeping.</w:t>
      </w: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KPIs and corresponding requirements for the AI/ML operations:</w:t>
      </w:r>
    </w:p>
    <w:p>
      <w:pPr>
        <w:spacing w:before="72" w:beforeLines="30" w:after="72" w:afterLines="30" w:line="288" w:lineRule="auto"/>
        <w:jc w:val="both"/>
        <w:rPr>
          <w:rFonts w:eastAsia="Times New Roman"/>
          <w:sz w:val="20"/>
          <w:szCs w:val="20"/>
        </w:rPr>
      </w:pPr>
      <w:r>
        <w:rPr>
          <w:rFonts w:hint="eastAsia" w:eastAsia="Times New Roman"/>
          <w:sz w:val="20"/>
          <w:szCs w:val="20"/>
        </w:rPr>
        <w:t>Considering the impact of the software environment and hardware implementation, it is important to discuss the key metrics when comparing the strengths and weaknesses of different AI models. They can also be used to evaluate the applicability of AI/ML techniques for beam management and should be incorporated into design considerations. As far as we are concerned, beam prediction accuracy can be used as the performance indicators at the early stage, which may include top-1/top-K beam prediction accuracy, average RSRP difference, and CDFs of RSRP difference between the AI-predicted beam and ideal beam. Besides, model complexity should also be taken into consideration, which includes the number of parameters and the amount of computation (measured in floating-point operations). Among them, the former describes the required memory and the latter describes the required computing power, which directly determines the inference time of the model. Additionally, since the data sets and AI models used by different companies are different, it is necessary to provide common data sets and baseline models for simulation calibration and performance cross-validation.</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Considering the impact of the software environment and hardware implementation, it is important to discuss the key metrics when comparing the strengths and weaknesses of different AI models.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5: </w:t>
      </w:r>
      <w:r>
        <w:rPr>
          <w:rFonts w:hint="eastAsia" w:eastAsia="Times New Roman"/>
          <w:i/>
          <w:iCs/>
          <w:sz w:val="20"/>
          <w:szCs w:val="20"/>
        </w:rPr>
        <w:t>Beam prediction accuracy can be used as the performance indicators at the early stage, which may include top-1/top-K beam prediction accuracy, average RSRP difference, and CDFs of RSRP difference between the AI-predicted beam and ideal beam.</w:t>
      </w:r>
    </w:p>
    <w:p>
      <w:pPr>
        <w:spacing w:before="72" w:beforeLines="30" w:after="72" w:afterLines="30" w:line="288" w:lineRule="auto"/>
        <w:jc w:val="both"/>
        <w:rPr>
          <w:rFonts w:eastAsia="Times New Roman"/>
          <w:sz w:val="20"/>
          <w:szCs w:val="20"/>
        </w:rPr>
      </w:pPr>
      <w:r>
        <w:rPr>
          <w:rFonts w:hint="eastAsia" w:eastAsia="Times New Roman"/>
          <w:b/>
          <w:bCs/>
          <w:i/>
          <w:iCs/>
          <w:sz w:val="20"/>
          <w:szCs w:val="20"/>
        </w:rPr>
        <w:t>Proposal 6:</w:t>
      </w:r>
      <w:r>
        <w:rPr>
          <w:rFonts w:hint="eastAsia" w:eastAsia="Times New Roman"/>
          <w:i/>
          <w:iCs/>
          <w:sz w:val="20"/>
          <w:szCs w:val="20"/>
        </w:rPr>
        <w:t xml:space="preserve"> Since the data sets and AI models used by different companies are different, it is necessary to provide common data sets and baseline models for simulation calibration and performance cross-validation</w:t>
      </w:r>
      <w:r>
        <w:rPr>
          <w:rFonts w:hint="eastAsia" w:eastAsia="Times New Roman"/>
          <w:sz w:val="20"/>
          <w:szCs w:val="20"/>
        </w:rPr>
        <w:t>.</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AI/ML for predictable mobility</w:t>
      </w:r>
    </w:p>
    <w:p>
      <w:pPr>
        <w:snapToGrid w:val="0"/>
        <w:spacing w:before="120" w:after="120" w:afterLines="50" w:line="300" w:lineRule="auto"/>
        <w:jc w:val="both"/>
        <w:rPr>
          <w:rFonts w:eastAsia="微软雅黑"/>
          <w:sz w:val="20"/>
          <w:szCs w:val="20"/>
          <w:lang w:val="en-GB"/>
        </w:rPr>
      </w:pPr>
      <w:r>
        <w:rPr>
          <w:rFonts w:eastAsia="微软雅黑"/>
          <w:sz w:val="20"/>
          <w:szCs w:val="20"/>
          <w:lang w:val="en-GB"/>
        </w:rPr>
        <w:t>To keep low implementation cost while still benefit from antenna array, analog beamforming has been widely used for FR2 millimetre-wave communication. For UE mobility, analog beam switching</w:t>
      </w:r>
      <w:r>
        <w:rPr>
          <w:rFonts w:hint="eastAsia" w:eastAsia="微软雅黑"/>
          <w:sz w:val="20"/>
          <w:szCs w:val="20"/>
          <w:lang w:val="en-GB"/>
        </w:rPr>
        <w:t>/</w:t>
      </w:r>
      <w:r>
        <w:rPr>
          <w:rFonts w:eastAsia="微软雅黑"/>
          <w:sz w:val="20"/>
          <w:szCs w:val="20"/>
          <w:lang w:val="en-GB"/>
        </w:rPr>
        <w:t xml:space="preserve">updating is determined according to beam dwelling time. In general, beam dwelling time depends on multiple factors including UE speed, distance between gNB and UE and beam-width of the gNB beams, and beam dwelling times for high-speed train (HST) (300 km/h, and 500km/h) and high-way (120km/h) with different gNB antenna configurations can be found in Figure </w:t>
      </w:r>
      <w:r>
        <w:rPr>
          <w:rFonts w:hint="eastAsia" w:eastAsia="微软雅黑"/>
          <w:sz w:val="20"/>
          <w:szCs w:val="20"/>
        </w:rPr>
        <w:t>2-2</w:t>
      </w:r>
      <w:r>
        <w:rPr>
          <w:rFonts w:eastAsia="微软雅黑"/>
          <w:sz w:val="20"/>
          <w:szCs w:val="20"/>
          <w:lang w:val="en-GB"/>
        </w:rPr>
        <w:t xml:space="preserve">. It can be observed that the beam dwelling time can be as small as 7ms. </w:t>
      </w:r>
    </w:p>
    <w:p>
      <w:pPr>
        <w:overflowPunct w:val="0"/>
        <w:autoSpaceDE w:val="0"/>
        <w:autoSpaceDN w:val="0"/>
        <w:adjustRightInd w:val="0"/>
        <w:snapToGrid w:val="0"/>
        <w:spacing w:before="120" w:beforeLines="50" w:after="120" w:line="300" w:lineRule="auto"/>
        <w:jc w:val="both"/>
        <w:textAlignment w:val="baseline"/>
        <w:rPr>
          <w:i/>
          <w:iCs/>
          <w:sz w:val="20"/>
          <w:szCs w:val="20"/>
        </w:rPr>
      </w:pPr>
      <w:r>
        <w:rPr>
          <w:rFonts w:hint="eastAsia"/>
          <w:b/>
          <w:bCs/>
          <w:i/>
          <w:iCs/>
          <w:sz w:val="20"/>
          <w:szCs w:val="20"/>
        </w:rPr>
        <w:t>Observation 3:</w:t>
      </w:r>
      <w:r>
        <w:rPr>
          <w:rFonts w:hint="eastAsia"/>
          <w:i/>
          <w:iCs/>
          <w:sz w:val="20"/>
          <w:szCs w:val="20"/>
        </w:rPr>
        <w:t xml:space="preserve"> For UE mobility, analog beam switching/updating is determined according to beam dwelling time. The beam dwelling time depends on multiple factors including UE speed, distance between gNB and UE and beam-width of the gNB beams.</w:t>
      </w:r>
    </w:p>
    <w:p>
      <w:pPr>
        <w:snapToGrid w:val="0"/>
        <w:spacing w:before="120" w:after="120" w:afterLines="50" w:line="300" w:lineRule="auto"/>
        <w:jc w:val="both"/>
        <w:rPr>
          <w:rFonts w:eastAsia="微软雅黑"/>
          <w:sz w:val="20"/>
          <w:szCs w:val="20"/>
          <w:lang w:val="en-GB"/>
        </w:rPr>
      </w:pPr>
    </w:p>
    <w:p>
      <w:pPr>
        <w:snapToGrid w:val="0"/>
        <w:spacing w:before="120" w:after="120" w:afterLines="50" w:line="300" w:lineRule="auto"/>
        <w:jc w:val="center"/>
        <w:rPr>
          <w:rFonts w:eastAsia="微软雅黑"/>
          <w:sz w:val="20"/>
          <w:szCs w:val="20"/>
          <w:lang w:val="en-GB"/>
        </w:rPr>
      </w:pPr>
      <w:r>
        <w:rPr>
          <w:sz w:val="20"/>
          <w:szCs w:val="20"/>
        </w:rPr>
        <w:drawing>
          <wp:inline distT="0" distB="0" distL="0" distR="0">
            <wp:extent cx="3885565" cy="2290445"/>
            <wp:effectExtent l="0" t="0" r="635" b="825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7"/>
                    <a:stretch>
                      <a:fillRect/>
                    </a:stretch>
                  </pic:blipFill>
                  <pic:spPr>
                    <a:xfrm>
                      <a:off x="0" y="0"/>
                      <a:ext cx="3896434" cy="2297065"/>
                    </a:xfrm>
                    <a:prstGeom prst="rect">
                      <a:avLst/>
                    </a:prstGeom>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i/>
          <w:iCs/>
          <w:sz w:val="20"/>
          <w:szCs w:val="20"/>
        </w:rPr>
      </w:pPr>
      <w:r>
        <w:rPr>
          <w:bCs/>
          <w:sz w:val="20"/>
          <w:szCs w:val="20"/>
        </w:rPr>
        <w:t xml:space="preserve">Figure </w:t>
      </w:r>
      <w:r>
        <w:rPr>
          <w:rFonts w:hint="eastAsia"/>
          <w:bCs/>
          <w:sz w:val="20"/>
          <w:szCs w:val="20"/>
        </w:rPr>
        <w:t>2-2.</w:t>
      </w:r>
      <w:r>
        <w:rPr>
          <w:rFonts w:hint="eastAsia"/>
          <w:sz w:val="20"/>
          <w:szCs w:val="20"/>
        </w:rPr>
        <w:t xml:space="preserve"> </w:t>
      </w:r>
      <w:r>
        <w:rPr>
          <w:sz w:val="20"/>
          <w:szCs w:val="20"/>
        </w:rPr>
        <w:t>Beam dwelling time in the scenario of high speed train (300 km/h and 500 km/h) and high way (120 km/h)</w:t>
      </w:r>
    </w:p>
    <w:p>
      <w:pPr>
        <w:overflowPunct w:val="0"/>
        <w:autoSpaceDE w:val="0"/>
        <w:autoSpaceDN w:val="0"/>
        <w:adjustRightInd w:val="0"/>
        <w:snapToGrid w:val="0"/>
        <w:spacing w:before="120" w:beforeLines="50" w:after="120" w:line="300" w:lineRule="auto"/>
        <w:jc w:val="both"/>
        <w:textAlignment w:val="baseline"/>
        <w:rPr>
          <w:rFonts w:eastAsia="微软雅黑"/>
          <w:sz w:val="20"/>
          <w:szCs w:val="20"/>
          <w:lang w:val="en-GB"/>
        </w:rPr>
      </w:pPr>
      <w:r>
        <w:rPr>
          <w:rFonts w:eastAsia="微软雅黑"/>
          <w:sz w:val="20"/>
          <w:szCs w:val="20"/>
          <w:lang w:val="en-GB"/>
        </w:rPr>
        <w:t>With the current beam management procedure including beam measurement, beam reporting and beam indication, it is hard to meet this beam update requirement.</w:t>
      </w:r>
    </w:p>
    <w:p>
      <w:pPr>
        <w:pStyle w:val="99"/>
        <w:numPr>
          <w:ilvl w:val="0"/>
          <w:numId w:val="8"/>
        </w:numPr>
        <w:overflowPunct w:val="0"/>
        <w:autoSpaceDE w:val="0"/>
        <w:autoSpaceDN w:val="0"/>
        <w:adjustRightInd w:val="0"/>
        <w:snapToGrid w:val="0"/>
        <w:spacing w:before="120" w:beforeLines="50" w:after="120" w:line="300" w:lineRule="auto"/>
        <w:ind w:firstLineChars="0"/>
        <w:jc w:val="both"/>
        <w:textAlignment w:val="baseline"/>
        <w:rPr>
          <w:rFonts w:eastAsiaTheme="minorEastAsia"/>
          <w:sz w:val="20"/>
          <w:szCs w:val="20"/>
        </w:rPr>
      </w:pPr>
      <w:r>
        <w:rPr>
          <w:rFonts w:eastAsiaTheme="minorEastAsia"/>
          <w:sz w:val="20"/>
          <w:szCs w:val="20"/>
        </w:rPr>
        <w:t xml:space="preserve">Regarding beam reporting and beam indication, the corresponding latency is mainly contributed by </w:t>
      </w:r>
      <w:bookmarkStart w:id="2" w:name="OLE_LINK1"/>
      <w:r>
        <w:rPr>
          <w:rFonts w:eastAsiaTheme="minorEastAsia"/>
          <w:sz w:val="20"/>
          <w:szCs w:val="20"/>
        </w:rPr>
        <w:t>activating candidate beams from RRC pool (including 3 ms latency for HARQ-ACK procedure and re</w:t>
      </w:r>
      <w:r>
        <w:rPr>
          <w:rFonts w:hint="eastAsia" w:eastAsiaTheme="minorEastAsia"/>
          <w:sz w:val="20"/>
          <w:szCs w:val="20"/>
        </w:rPr>
        <w:t>-</w:t>
      </w:r>
      <w:r>
        <w:rPr>
          <w:rFonts w:eastAsiaTheme="minorEastAsia"/>
          <w:sz w:val="20"/>
          <w:szCs w:val="20"/>
        </w:rPr>
        <w:t>transmission of PUSCH carrying the activation MAC-CE command) and additional latency due to frequency and time tracking</w:t>
      </w:r>
      <w:bookmarkEnd w:id="2"/>
      <w:r>
        <w:rPr>
          <w:rFonts w:eastAsiaTheme="minorEastAsia"/>
          <w:sz w:val="20"/>
          <w:szCs w:val="20"/>
        </w:rPr>
        <w:t xml:space="preserve"> (e.g., waiting for first SSB after activation as required in RAN4). Even if ignoring the latter one, the average latency for both beam reporting and beam indication is about 5 ms; otherwise, the latency can be up to 25 ms with 20ms-periodicity SSB. </w:t>
      </w:r>
    </w:p>
    <w:p>
      <w:pPr>
        <w:pStyle w:val="99"/>
        <w:numPr>
          <w:ilvl w:val="0"/>
          <w:numId w:val="8"/>
        </w:numPr>
        <w:overflowPunct w:val="0"/>
        <w:autoSpaceDE w:val="0"/>
        <w:autoSpaceDN w:val="0"/>
        <w:adjustRightInd w:val="0"/>
        <w:snapToGrid w:val="0"/>
        <w:spacing w:before="120" w:beforeLines="50" w:after="120" w:line="300" w:lineRule="auto"/>
        <w:ind w:firstLineChars="0"/>
        <w:jc w:val="both"/>
        <w:textAlignment w:val="baseline"/>
        <w:rPr>
          <w:rFonts w:eastAsiaTheme="minorEastAsia"/>
          <w:sz w:val="20"/>
          <w:szCs w:val="20"/>
        </w:rPr>
      </w:pPr>
      <w:r>
        <w:rPr>
          <w:rFonts w:hint="eastAsia" w:eastAsiaTheme="minorEastAsia"/>
          <w:sz w:val="20"/>
          <w:szCs w:val="20"/>
        </w:rPr>
        <w:t>R</w:t>
      </w:r>
      <w:r>
        <w:rPr>
          <w:rFonts w:eastAsiaTheme="minorEastAsia"/>
          <w:sz w:val="20"/>
          <w:szCs w:val="20"/>
        </w:rPr>
        <w:t>egarding beam measurement, in order to track Tx-Rx beam pair quickly in this high mobility scenario, the overhead of aperiodic CSI-RS may be very huge. Provided that we only consider UE horizontal movement, from the perspective of beam alignment, the gNB and UE should track 3 candidate gNB Tx beams (current, left and right) and 3 candidate UE Rx beams (current, left and right), respectively, which means that at least 9 CSI-RS resources should be transmitted for channel measurement in each beam tracking procedure. Meanwhile, it should be noticed that CSI-RS for beam tracking is UE specific. In such case, the RS overhead as a function of periodicity of beam tracking can be found in Figure 2</w:t>
      </w:r>
      <w:r>
        <w:rPr>
          <w:rFonts w:hint="eastAsia" w:eastAsiaTheme="minorEastAsia"/>
          <w:sz w:val="20"/>
          <w:szCs w:val="20"/>
        </w:rPr>
        <w:t>-3</w:t>
      </w:r>
      <w:r>
        <w:rPr>
          <w:rFonts w:eastAsiaTheme="minorEastAsia"/>
          <w:sz w:val="20"/>
          <w:szCs w:val="20"/>
        </w:rPr>
        <w:t xml:space="preserve">. </w:t>
      </w:r>
    </w:p>
    <w:p>
      <w:pPr>
        <w:pStyle w:val="99"/>
        <w:numPr>
          <w:ilvl w:val="0"/>
          <w:numId w:val="9"/>
        </w:numPr>
        <w:overflowPunct w:val="0"/>
        <w:autoSpaceDE w:val="0"/>
        <w:autoSpaceDN w:val="0"/>
        <w:adjustRightInd w:val="0"/>
        <w:snapToGrid w:val="0"/>
        <w:spacing w:before="120" w:beforeLines="50" w:after="120" w:line="300" w:lineRule="auto"/>
        <w:ind w:firstLineChars="0"/>
        <w:jc w:val="both"/>
        <w:textAlignment w:val="baseline"/>
        <w:rPr>
          <w:rFonts w:eastAsiaTheme="minorEastAsia"/>
          <w:sz w:val="20"/>
          <w:szCs w:val="20"/>
        </w:rPr>
      </w:pPr>
      <w:r>
        <w:rPr>
          <w:rFonts w:eastAsiaTheme="minorEastAsia"/>
          <w:sz w:val="20"/>
          <w:szCs w:val="20"/>
        </w:rPr>
        <w:t xml:space="preserve">In general, in order to guarantee transmission performance, the periodicity of beam tracking should be less than the beam dwelling time in the deployment scenario. Considering </w:t>
      </w:r>
      <w:r>
        <w:rPr>
          <w:rFonts w:eastAsia="微软雅黑"/>
          <w:sz w:val="20"/>
          <w:szCs w:val="20"/>
          <w:lang w:val="en-GB"/>
        </w:rPr>
        <w:t xml:space="preserve">the beam dwelling time can be as small as 7ms for HST scenario with 500 km/h at the worst case, the period of beam tracking is set to 5 ms, and consequently the RS overhead for number of UEs = 50 and 100 can be up to 80.36% and 160.71%, which means that almost or all resources will be occupied by beam tracking. </w:t>
      </w:r>
    </w:p>
    <w:p>
      <w:pPr>
        <w:pStyle w:val="99"/>
        <w:numPr>
          <w:ilvl w:val="0"/>
          <w:numId w:val="9"/>
        </w:numPr>
        <w:overflowPunct w:val="0"/>
        <w:autoSpaceDE w:val="0"/>
        <w:autoSpaceDN w:val="0"/>
        <w:adjustRightInd w:val="0"/>
        <w:snapToGrid w:val="0"/>
        <w:spacing w:before="120" w:beforeLines="50" w:after="120" w:line="300" w:lineRule="auto"/>
        <w:ind w:firstLineChars="0"/>
        <w:jc w:val="both"/>
        <w:textAlignment w:val="baseline"/>
        <w:rPr>
          <w:rFonts w:eastAsiaTheme="minorEastAsia"/>
          <w:sz w:val="20"/>
          <w:szCs w:val="20"/>
        </w:rPr>
      </w:pPr>
      <w:r>
        <w:rPr>
          <w:rFonts w:eastAsia="微软雅黑"/>
          <w:sz w:val="20"/>
          <w:szCs w:val="20"/>
          <w:lang w:val="en-GB"/>
        </w:rPr>
        <w:t>Even for HST scenario with 300 km/h, the period of beam tracking increases to 10 ms (beam dwelling time is 11.7 ms), RS occupancy for beam tracking is still up to 40.18% and 80.36% for the number of UEs = 50 and 100, respectively. It should be noticed that this still hasn’t considered other RS or control channel overhead, like PDCCH and SSB.</w:t>
      </w:r>
    </w:p>
    <w:p>
      <w:pPr>
        <w:overflowPunct w:val="0"/>
        <w:autoSpaceDE w:val="0"/>
        <w:autoSpaceDN w:val="0"/>
        <w:adjustRightInd w:val="0"/>
        <w:snapToGrid w:val="0"/>
        <w:spacing w:before="120" w:beforeLines="50" w:after="120" w:line="300" w:lineRule="auto"/>
        <w:jc w:val="center"/>
        <w:textAlignment w:val="baseline"/>
        <w:rPr>
          <w:rFonts w:eastAsiaTheme="minorEastAsia"/>
          <w:sz w:val="20"/>
          <w:szCs w:val="20"/>
        </w:rPr>
      </w:pPr>
      <w:r>
        <w:rPr>
          <w:rFonts w:hint="eastAsia"/>
          <w:sz w:val="20"/>
          <w:szCs w:val="20"/>
        </w:rPr>
        <w:drawing>
          <wp:inline distT="0" distB="0" distL="114300" distR="114300">
            <wp:extent cx="3695700" cy="3127375"/>
            <wp:effectExtent l="0" t="0" r="0" b="9525"/>
            <wp:docPr id="2" name="图片 4" descr="CSIRSoverhead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CSIRSoverhead40-5"/>
                    <pic:cNvPicPr>
                      <a:picLocks noChangeAspect="1"/>
                    </pic:cNvPicPr>
                  </pic:nvPicPr>
                  <pic:blipFill>
                    <a:blip r:embed="rId8"/>
                    <a:srcRect r="1476"/>
                    <a:stretch>
                      <a:fillRect/>
                    </a:stretch>
                  </pic:blipFill>
                  <pic:spPr>
                    <a:xfrm>
                      <a:off x="0" y="0"/>
                      <a:ext cx="3723911" cy="3151600"/>
                    </a:xfrm>
                    <a:prstGeom prst="rect">
                      <a:avLst/>
                    </a:prstGeom>
                    <a:ln>
                      <a:noFill/>
                    </a:ln>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sz w:val="20"/>
          <w:szCs w:val="20"/>
        </w:rPr>
      </w:pPr>
      <w:r>
        <w:rPr>
          <w:bCs/>
          <w:sz w:val="20"/>
          <w:szCs w:val="20"/>
        </w:rPr>
        <w:t>Figure 2</w:t>
      </w:r>
      <w:r>
        <w:rPr>
          <w:rFonts w:hint="eastAsia"/>
          <w:bCs/>
          <w:sz w:val="20"/>
          <w:szCs w:val="20"/>
        </w:rPr>
        <w:t>-3.</w:t>
      </w:r>
      <w:r>
        <w:rPr>
          <w:rFonts w:hint="eastAsia"/>
          <w:sz w:val="20"/>
          <w:szCs w:val="20"/>
        </w:rPr>
        <w:t xml:space="preserve"> </w:t>
      </w:r>
      <w:r>
        <w:rPr>
          <w:sz w:val="20"/>
          <w:szCs w:val="20"/>
        </w:rPr>
        <w:t>UE specific CSI-RS overhead for beam tracking</w:t>
      </w:r>
    </w:p>
    <w:p>
      <w:pPr>
        <w:overflowPunct w:val="0"/>
        <w:autoSpaceDE w:val="0"/>
        <w:autoSpaceDN w:val="0"/>
        <w:adjustRightInd w:val="0"/>
        <w:snapToGrid w:val="0"/>
        <w:spacing w:before="120" w:beforeLines="50" w:after="120" w:line="300" w:lineRule="auto"/>
        <w:jc w:val="both"/>
        <w:textAlignment w:val="baseline"/>
        <w:rPr>
          <w:sz w:val="20"/>
          <w:szCs w:val="20"/>
        </w:rPr>
      </w:pPr>
      <w:r>
        <w:rPr>
          <w:rFonts w:eastAsia="微软雅黑"/>
          <w:sz w:val="20"/>
          <w:szCs w:val="20"/>
          <w:lang w:val="en-GB"/>
        </w:rPr>
        <w:t xml:space="preserve">To make sure that narrow beams can be used for better coverage and performance in high speed </w:t>
      </w:r>
      <w:r>
        <w:rPr>
          <w:rFonts w:eastAsiaTheme="minorEastAsia"/>
          <w:sz w:val="20"/>
          <w:szCs w:val="20"/>
        </w:rPr>
        <w:t>scenarios and save the RS overhead for beam tracking</w:t>
      </w:r>
      <w:r>
        <w:rPr>
          <w:rFonts w:eastAsia="微软雅黑"/>
          <w:sz w:val="20"/>
          <w:szCs w:val="20"/>
          <w:lang w:val="en-GB"/>
        </w:rPr>
        <w:t>, it is beneficial to use AI on beam prediction</w:t>
      </w:r>
      <w:r>
        <w:rPr>
          <w:rFonts w:hint="eastAsia" w:eastAsia="微软雅黑"/>
          <w:sz w:val="20"/>
          <w:szCs w:val="20"/>
          <w:lang w:val="en-GB"/>
        </w:rPr>
        <w:t xml:space="preserve"> </w:t>
      </w:r>
      <w:r>
        <w:rPr>
          <w:rFonts w:eastAsia="微软雅黑"/>
          <w:sz w:val="20"/>
          <w:szCs w:val="20"/>
          <w:lang w:val="en-GB"/>
        </w:rPr>
        <w:t>for beam management and mobility. Potential standardization impacts include enhancements on beam measurement, beam reporting and beam indication.</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4:</w:t>
      </w:r>
      <w:r>
        <w:rPr>
          <w:rFonts w:hint="eastAsia" w:eastAsia="Times New Roman"/>
          <w:i/>
          <w:iCs/>
          <w:sz w:val="20"/>
          <w:szCs w:val="20"/>
        </w:rPr>
        <w:t xml:space="preserve"> The latency for beam reporting and beam indication is mainly on activating candidate beams from RRC pool (including 3 ms latency for HARQ-ACK procedure and re-transmission of PUSCH carrying the activation MAC-CE command) and additional latency due to frequency and time tracking, where the latency may vary from 5 ms to 25 ms.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5:</w:t>
      </w:r>
      <w:r>
        <w:rPr>
          <w:rFonts w:hint="eastAsia" w:eastAsia="Times New Roman"/>
          <w:i/>
          <w:iCs/>
          <w:sz w:val="20"/>
          <w:szCs w:val="20"/>
        </w:rPr>
        <w:t xml:space="preserve"> The RS overhead for beam management is a function of periodicity of beam tracking</w:t>
      </w:r>
      <w:r>
        <w:rPr>
          <w:rFonts w:hint="eastAsia"/>
          <w:i/>
          <w:iCs/>
          <w:sz w:val="20"/>
          <w:szCs w:val="20"/>
        </w:rPr>
        <w:t xml:space="preserve">. With the increased UE speed in </w:t>
      </w:r>
      <w:r>
        <w:rPr>
          <w:rFonts w:hint="eastAsia" w:eastAsia="Times New Roman"/>
          <w:i/>
          <w:iCs/>
          <w:sz w:val="20"/>
          <w:szCs w:val="20"/>
        </w:rPr>
        <w:t>high mobility scenarios, RS occupancy for beam tracking will be a huge burden for network.</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7: </w:t>
      </w:r>
      <w:r>
        <w:rPr>
          <w:rFonts w:hint="eastAsia" w:eastAsia="Times New Roman"/>
          <w:i/>
          <w:iCs/>
          <w:sz w:val="20"/>
          <w:szCs w:val="20"/>
        </w:rPr>
        <w:t>AI/ML based solutions are expected to be studied and evaluated to do beam prediction so as to reduce beam tracking latency and RS overhead in high mobility scenarios.</w:t>
      </w:r>
    </w:p>
    <w:p>
      <w:pPr>
        <w:numPr>
          <w:ilvl w:val="0"/>
          <w:numId w:val="5"/>
        </w:numPr>
        <w:tabs>
          <w:tab w:val="clear" w:pos="432"/>
        </w:tabs>
        <w:snapToGrid w:val="0"/>
        <w:spacing w:before="120" w:beforeLines="50" w:after="120" w:afterLines="50" w:line="288" w:lineRule="auto"/>
        <w:ind w:left="425" w:hanging="425"/>
        <w:jc w:val="both"/>
        <w:outlineLvl w:val="0"/>
      </w:pPr>
      <w:r>
        <w:rPr>
          <w:rFonts w:hint="eastAsia"/>
          <w:b/>
          <w:sz w:val="28"/>
          <w:szCs w:val="28"/>
        </w:rPr>
        <w:t>Performance evaluation of AI/ML based algorithms</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Spatial-domain beam prediction</w:t>
      </w:r>
    </w:p>
    <w:p>
      <w:pPr>
        <w:spacing w:before="72" w:beforeLines="30" w:after="72" w:afterLines="30" w:line="288" w:lineRule="auto"/>
        <w:jc w:val="both"/>
        <w:rPr>
          <w:rFonts w:eastAsia="Times New Roman"/>
          <w:sz w:val="20"/>
          <w:szCs w:val="20"/>
        </w:rPr>
      </w:pPr>
      <w:r>
        <w:rPr>
          <w:rFonts w:eastAsia="Times New Roman"/>
          <w:sz w:val="20"/>
          <w:szCs w:val="20"/>
        </w:rPr>
        <w:t xml:space="preserve">To evaluate performance benefits of the above </w:t>
      </w:r>
      <w:r>
        <w:rPr>
          <w:rFonts w:hint="eastAsia" w:eastAsia="Times New Roman"/>
          <w:sz w:val="20"/>
          <w:szCs w:val="20"/>
        </w:rPr>
        <w:t>AI/ML</w:t>
      </w:r>
      <w:r>
        <w:rPr>
          <w:rFonts w:eastAsia="Times New Roman"/>
          <w:sz w:val="20"/>
          <w:szCs w:val="20"/>
        </w:rPr>
        <w:t xml:space="preserve"> based algorithms for spatial-domain beam prediction, we conduct system level simulations under statistical models following TR 38.901. Specifically, we consider a UMi open area with both LoS and NLoS </w:t>
      </w:r>
      <w:r>
        <w:rPr>
          <w:rFonts w:hint="eastAsia" w:eastAsia="Times New Roman"/>
          <w:sz w:val="20"/>
          <w:szCs w:val="20"/>
        </w:rPr>
        <w:t>state</w:t>
      </w:r>
      <w:r>
        <w:rPr>
          <w:rFonts w:eastAsia="Times New Roman"/>
          <w:sz w:val="20"/>
          <w:szCs w:val="20"/>
        </w:rPr>
        <w:t>, which is intended to capture real-life scenarios such as a city or station square. The BS antenna height and UE antenna height are 10m and 1.5m, respectively. The carrier frequency is set to be 30</w:t>
      </w:r>
      <w:r>
        <w:rPr>
          <w:rFonts w:hint="eastAsia" w:eastAsia="Times New Roman"/>
          <w:sz w:val="20"/>
          <w:szCs w:val="20"/>
        </w:rPr>
        <w:t xml:space="preserve"> </w:t>
      </w:r>
      <w:r>
        <w:rPr>
          <w:rFonts w:eastAsia="Times New Roman"/>
          <w:sz w:val="20"/>
          <w:szCs w:val="20"/>
        </w:rPr>
        <w:t xml:space="preserve">GHz, with system bandwidth being </w:t>
      </w:r>
      <w:r>
        <w:rPr>
          <w:rFonts w:hint="eastAsia" w:eastAsia="Times New Roman"/>
          <w:sz w:val="20"/>
          <w:szCs w:val="20"/>
        </w:rPr>
        <w:t>2</w:t>
      </w:r>
      <w:r>
        <w:rPr>
          <w:rFonts w:eastAsia="Times New Roman"/>
          <w:sz w:val="20"/>
          <w:szCs w:val="20"/>
        </w:rPr>
        <w:t>0</w:t>
      </w:r>
      <w:r>
        <w:rPr>
          <w:rFonts w:hint="eastAsia" w:eastAsia="Times New Roman"/>
          <w:sz w:val="20"/>
          <w:szCs w:val="20"/>
        </w:rPr>
        <w:t xml:space="preserve"> </w:t>
      </w:r>
      <w:r>
        <w:rPr>
          <w:rFonts w:eastAsia="Times New Roman"/>
          <w:sz w:val="20"/>
          <w:szCs w:val="20"/>
        </w:rPr>
        <w:t>MHz. BS antenna configurations are modeled by (M, N, P, Mg, Ng) = (4, 8, 2, 2, 2), (dV, dH) = (0.5, 0.5), (dg,V, dg,H) = (2.0, 4.0)</w:t>
      </w:r>
      <w:r>
        <w:rPr>
          <w:rFonts w:eastAsia="Times New Roman"/>
          <w:sz w:val="20"/>
          <w:szCs w:val="20"/>
          <w:lang w:val="sv-SE"/>
        </w:rPr>
        <w:t>λ</w:t>
      </w:r>
      <w:r>
        <w:rPr>
          <w:rFonts w:eastAsia="Times New Roman"/>
          <w:sz w:val="20"/>
          <w:szCs w:val="20"/>
        </w:rPr>
        <w:t xml:space="preserve">. More details on scenario description are listed in Table I in the </w:t>
      </w:r>
      <w:r>
        <w:rPr>
          <w:rFonts w:hint="eastAsia" w:eastAsia="Times New Roman"/>
          <w:sz w:val="20"/>
          <w:szCs w:val="20"/>
        </w:rPr>
        <w:t>A</w:t>
      </w:r>
      <w:r>
        <w:rPr>
          <w:rFonts w:eastAsia="Times New Roman"/>
          <w:sz w:val="20"/>
          <w:szCs w:val="20"/>
        </w:rPr>
        <w:t xml:space="preserve">ppendix. </w:t>
      </w:r>
    </w:p>
    <w:p>
      <w:pPr>
        <w:numPr>
          <w:ilvl w:val="0"/>
          <w:numId w:val="10"/>
        </w:numPr>
        <w:spacing w:before="72" w:beforeLines="30" w:after="72" w:afterLines="30" w:line="288" w:lineRule="auto"/>
        <w:jc w:val="both"/>
        <w:rPr>
          <w:rFonts w:eastAsia="Times New Roman"/>
          <w:sz w:val="20"/>
          <w:szCs w:val="20"/>
        </w:rPr>
      </w:pPr>
      <w:r>
        <w:rPr>
          <w:rFonts w:hint="eastAsia" w:eastAsia="Times New Roman"/>
          <w:sz w:val="20"/>
          <w:szCs w:val="20"/>
        </w:rPr>
        <w:t>Omnidirectional reception with a single receive beam</w:t>
      </w:r>
    </w:p>
    <w:p>
      <w:pPr>
        <w:spacing w:before="72" w:beforeLines="30" w:after="72" w:afterLines="30" w:line="288" w:lineRule="auto"/>
        <w:jc w:val="both"/>
        <w:rPr>
          <w:rFonts w:eastAsia="Times New Roman"/>
          <w:sz w:val="20"/>
          <w:szCs w:val="20"/>
        </w:rPr>
      </w:pPr>
      <w:r>
        <w:rPr>
          <w:rFonts w:hint="eastAsia" w:eastAsia="Times New Roman"/>
          <w:sz w:val="20"/>
          <w:szCs w:val="20"/>
        </w:rPr>
        <w:t>The omnidirectional reception with a single receive beam is simulated and analyzed. Specifically, the BS with 16 beams along the horizontal dimension and 4 beams along the vertical dimension is exploited, and all UEs are equipped with an omnidirectional antenna. F</w:t>
      </w:r>
      <w:r>
        <w:rPr>
          <w:rFonts w:eastAsia="Times New Roman"/>
          <w:sz w:val="20"/>
          <w:szCs w:val="20"/>
        </w:rPr>
        <w:t>or the DNN model, we construct a data set with 56000 samples, where 50000, 3000, and 3000 samples are used as the training set, the validation set, and the test set, respectively. The</w:t>
      </w:r>
      <w:r>
        <w:rPr>
          <w:rFonts w:hint="eastAsia" w:eastAsia="Times New Roman"/>
          <w:sz w:val="20"/>
          <w:szCs w:val="20"/>
        </w:rPr>
        <w:t xml:space="preserve"> </w:t>
      </w:r>
      <w:r>
        <w:rPr>
          <w:rFonts w:eastAsia="Times New Roman"/>
          <w:sz w:val="20"/>
          <w:szCs w:val="20"/>
        </w:rPr>
        <w:t>corresponding simulation results are specified below.</w:t>
      </w:r>
    </w:p>
    <w:p>
      <w:pPr>
        <w:spacing w:before="72" w:beforeLines="30" w:after="72" w:afterLines="30" w:line="288" w:lineRule="auto"/>
        <w:jc w:val="both"/>
        <w:rPr>
          <w:rFonts w:eastAsia="Times New Roman"/>
          <w:sz w:val="20"/>
          <w:szCs w:val="20"/>
        </w:rPr>
      </w:pPr>
      <w:r>
        <w:rPr>
          <w:rFonts w:hint="eastAsia" w:eastAsia="Times New Roman"/>
          <w:sz w:val="20"/>
          <w:szCs w:val="20"/>
        </w:rPr>
        <w:t xml:space="preserve">Two sampling cases with different sampled subsets are considered and compared in Figure 3-1. The </w:t>
      </w:r>
      <w:r>
        <w:rPr>
          <w:rFonts w:eastAsia="Times New Roman"/>
          <w:sz w:val="20"/>
          <w:szCs w:val="20"/>
        </w:rPr>
        <w:t>‘</w:t>
      </w:r>
      <w:r>
        <w:rPr>
          <w:rFonts w:hint="eastAsia" w:eastAsia="Times New Roman"/>
          <w:sz w:val="20"/>
          <w:szCs w:val="20"/>
        </w:rPr>
        <w:t>T</w:t>
      </w:r>
      <w:r>
        <w:rPr>
          <w:rFonts w:eastAsia="Times New Roman"/>
          <w:sz w:val="20"/>
          <w:szCs w:val="20"/>
        </w:rPr>
        <w:t>’</w:t>
      </w:r>
      <w:r>
        <w:rPr>
          <w:rFonts w:hint="eastAsia" w:eastAsia="Times New Roman"/>
          <w:sz w:val="20"/>
          <w:szCs w:val="20"/>
        </w:rPr>
        <w:t xml:space="preserve"> and </w:t>
      </w:r>
      <w:r>
        <w:rPr>
          <w:rFonts w:eastAsia="Times New Roman"/>
          <w:sz w:val="20"/>
          <w:szCs w:val="20"/>
        </w:rPr>
        <w:t>‘</w:t>
      </w:r>
      <w:r>
        <w:rPr>
          <w:rFonts w:hint="eastAsia" w:eastAsia="Times New Roman"/>
          <w:sz w:val="20"/>
          <w:szCs w:val="20"/>
        </w:rPr>
        <w:t>R</w:t>
      </w:r>
      <w:r>
        <w:rPr>
          <w:rFonts w:eastAsia="Times New Roman"/>
          <w:sz w:val="20"/>
          <w:szCs w:val="20"/>
        </w:rPr>
        <w:t>’</w:t>
      </w:r>
      <w:r>
        <w:rPr>
          <w:rFonts w:hint="eastAsia" w:eastAsia="Times New Roman"/>
          <w:sz w:val="20"/>
          <w:szCs w:val="20"/>
        </w:rPr>
        <w:t xml:space="preserve"> in the caption of Figure 3-1 represent the number of transmit beams and receive beams, respectively. The smoothed</w:t>
      </w:r>
      <w:r>
        <w:rPr>
          <w:rFonts w:eastAsia="Times New Roman"/>
          <w:sz w:val="20"/>
          <w:szCs w:val="20"/>
        </w:rPr>
        <w:t> red curve</w:t>
      </w:r>
      <w:r>
        <w:rPr>
          <w:rFonts w:hint="eastAsia" w:eastAsia="Times New Roman"/>
          <w:sz w:val="20"/>
          <w:szCs w:val="20"/>
        </w:rPr>
        <w:t xml:space="preserve"> </w:t>
      </w:r>
      <w:r>
        <w:rPr>
          <w:rFonts w:eastAsia="Times New Roman"/>
          <w:sz w:val="20"/>
          <w:szCs w:val="20"/>
        </w:rPr>
        <w:t xml:space="preserve">shown in </w:t>
      </w:r>
      <w:r>
        <w:rPr>
          <w:rFonts w:hint="eastAsia" w:eastAsia="Times New Roman"/>
          <w:sz w:val="20"/>
          <w:szCs w:val="20"/>
        </w:rPr>
        <w:t>Figure 3-1</w:t>
      </w:r>
      <w:r>
        <w:rPr>
          <w:rFonts w:eastAsia="Times New Roman"/>
          <w:sz w:val="20"/>
          <w:szCs w:val="20"/>
        </w:rPr>
        <w:t xml:space="preserve"> </w:t>
      </w:r>
      <w:r>
        <w:rPr>
          <w:rFonts w:hint="eastAsia" w:eastAsia="Times New Roman"/>
          <w:sz w:val="20"/>
          <w:szCs w:val="20"/>
        </w:rPr>
        <w:t xml:space="preserve">is </w:t>
      </w:r>
      <w:r>
        <w:rPr>
          <w:rFonts w:eastAsia="Times New Roman"/>
          <w:sz w:val="20"/>
          <w:szCs w:val="20"/>
        </w:rPr>
        <w:t>plotted</w:t>
      </w:r>
      <w:r>
        <w:rPr>
          <w:rFonts w:hint="eastAsia" w:eastAsia="Times New Roman"/>
          <w:sz w:val="20"/>
          <w:szCs w:val="20"/>
        </w:rPr>
        <w:t xml:space="preserve"> to represent CDFs of RSRP difference between the AI-predicted beam and ideal beam, where a subset of 16 beams are measured and reported to gNB for AI inferring. As can be seen, the AI/ML based spatial-domain beam prediction achieved sufficiently high performance with only 25% (16/64) beam overheads being activated. </w:t>
      </w:r>
    </w:p>
    <w:p>
      <w:pPr>
        <w:widowControl w:val="0"/>
        <w:snapToGrid w:val="0"/>
        <w:spacing w:before="120" w:after="120" w:afterLines="50" w:line="240" w:lineRule="auto"/>
        <w:jc w:val="center"/>
      </w:pPr>
      <w:r>
        <w:drawing>
          <wp:inline distT="0" distB="0" distL="114300" distR="114300">
            <wp:extent cx="3175635" cy="2408555"/>
            <wp:effectExtent l="0" t="0" r="12065"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3175635" cy="2408555"/>
                    </a:xfrm>
                    <a:prstGeom prst="rect">
                      <a:avLst/>
                    </a:prstGeom>
                    <a:noFill/>
                    <a:ln>
                      <a:noFill/>
                    </a:ln>
                  </pic:spPr>
                </pic:pic>
              </a:graphicData>
            </a:graphic>
          </wp:inline>
        </w:drawing>
      </w:r>
    </w:p>
    <w:p>
      <w:pPr>
        <w:spacing w:before="72" w:beforeLines="30" w:after="72" w:afterLines="30" w:line="288" w:lineRule="auto"/>
        <w:jc w:val="center"/>
      </w:pPr>
      <w:r>
        <w:rPr>
          <w:rFonts w:hint="eastAsia" w:eastAsia="Times New Roman"/>
          <w:sz w:val="20"/>
          <w:szCs w:val="20"/>
        </w:rPr>
        <w:t>Figure 3-1. CDFs of RSRP difference between the AI-predicted beam and ideal beam</w:t>
      </w:r>
    </w:p>
    <w:p>
      <w:pPr>
        <w:spacing w:before="72" w:beforeLines="30" w:after="72" w:afterLines="30" w:line="288" w:lineRule="auto"/>
        <w:jc w:val="both"/>
        <w:rPr>
          <w:rFonts w:eastAsia="Times New Roman"/>
          <w:sz w:val="20"/>
          <w:szCs w:val="20"/>
        </w:rPr>
      </w:pPr>
      <w:r>
        <w:rPr>
          <w:rFonts w:hint="eastAsia" w:eastAsia="Times New Roman"/>
          <w:sz w:val="20"/>
          <w:szCs w:val="20"/>
        </w:rPr>
        <w:t>Note that the most likely beams are inferred by ranking the probabilities of the AI output. Therefore, we also compare the top-1 and top-K prediction accuracy of different cases as summarized in Table II, where the top-K prediction accuracy represents the percentage of the samples that the top K likely predicted beams include the best beam. With Top-5 prediction, 96.31% beam prediction accuracy is achieved in Case1.</w:t>
      </w:r>
    </w:p>
    <w:p>
      <w:pPr>
        <w:spacing w:before="72" w:beforeLines="30" w:after="72" w:afterLines="30" w:line="288" w:lineRule="auto"/>
        <w:jc w:val="center"/>
        <w:rPr>
          <w:rFonts w:eastAsia="Times New Roman"/>
          <w:sz w:val="20"/>
          <w:szCs w:val="20"/>
        </w:rPr>
      </w:pPr>
      <w:r>
        <w:rPr>
          <w:rFonts w:hint="eastAsia" w:eastAsia="Times New Roman"/>
          <w:sz w:val="20"/>
          <w:szCs w:val="20"/>
        </w:rPr>
        <w:t>Table II. Top-K prediction accuracy for different sampling cases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0"/>
        <w:gridCol w:w="833"/>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p>
        </w:tc>
        <w:tc>
          <w:tcPr>
            <w:tcW w:w="833" w:type="dxa"/>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Case1</w:t>
            </w:r>
          </w:p>
        </w:tc>
        <w:tc>
          <w:tcPr>
            <w:tcW w:w="833" w:type="dxa"/>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Average RSRP difference (dB)</w:t>
            </w:r>
          </w:p>
        </w:tc>
        <w:tc>
          <w:tcPr>
            <w:tcW w:w="833" w:type="dxa"/>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0.1295</w:t>
            </w:r>
          </w:p>
        </w:tc>
        <w:tc>
          <w:tcPr>
            <w:tcW w:w="833" w:type="dxa"/>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0.4481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Top-1 prediction accuracy</w:t>
            </w:r>
          </w:p>
        </w:tc>
        <w:tc>
          <w:tcPr>
            <w:tcW w:w="833" w:type="dxa"/>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77.62%</w:t>
            </w:r>
          </w:p>
        </w:tc>
        <w:tc>
          <w:tcPr>
            <w:tcW w:w="833" w:type="dxa"/>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52.83%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Top-5 prediction accuracy</w:t>
            </w:r>
          </w:p>
        </w:tc>
        <w:tc>
          <w:tcPr>
            <w:tcW w:w="833" w:type="dxa"/>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96.31%</w:t>
            </w:r>
          </w:p>
        </w:tc>
        <w:tc>
          <w:tcPr>
            <w:tcW w:w="833" w:type="dxa"/>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84.27%</w:t>
            </w:r>
          </w:p>
        </w:tc>
      </w:tr>
    </w:tbl>
    <w:p>
      <w:pPr>
        <w:spacing w:before="72" w:beforeLines="30" w:after="72" w:afterLines="30" w:line="288" w:lineRule="auto"/>
        <w:jc w:val="both"/>
        <w:rPr>
          <w:rFonts w:eastAsia="Times New Roman"/>
          <w:sz w:val="20"/>
          <w:szCs w:val="20"/>
        </w:rPr>
      </w:pPr>
    </w:p>
    <w:p>
      <w:pPr>
        <w:numPr>
          <w:ilvl w:val="0"/>
          <w:numId w:val="10"/>
        </w:numPr>
        <w:spacing w:before="72" w:beforeLines="30" w:after="72" w:afterLines="30" w:line="288" w:lineRule="auto"/>
        <w:jc w:val="both"/>
        <w:rPr>
          <w:rFonts w:eastAsia="Times New Roman"/>
          <w:sz w:val="20"/>
          <w:szCs w:val="20"/>
        </w:rPr>
      </w:pPr>
      <w:r>
        <w:rPr>
          <w:rFonts w:eastAsia="Times New Roman"/>
          <w:sz w:val="20"/>
          <w:szCs w:val="20"/>
        </w:rPr>
        <w:t>Directional reception with multiple receive beams</w:t>
      </w:r>
    </w:p>
    <w:p>
      <w:pPr>
        <w:spacing w:before="72" w:beforeLines="30" w:after="72" w:afterLines="30" w:line="288" w:lineRule="auto"/>
        <w:jc w:val="both"/>
        <w:rPr>
          <w:rFonts w:eastAsia="Times New Roman"/>
          <w:sz w:val="20"/>
          <w:szCs w:val="20"/>
        </w:rPr>
      </w:pPr>
      <w:r>
        <w:rPr>
          <w:rFonts w:hint="eastAsia" w:eastAsia="Times New Roman"/>
          <w:sz w:val="20"/>
          <w:szCs w:val="20"/>
        </w:rPr>
        <w:t xml:space="preserve">We then simulated the directional reception with </w:t>
      </w:r>
      <w:r>
        <w:rPr>
          <w:rFonts w:eastAsia="Times New Roman"/>
          <w:sz w:val="20"/>
          <w:szCs w:val="20"/>
        </w:rPr>
        <w:t>multiple receive</w:t>
      </w:r>
      <w:r>
        <w:rPr>
          <w:rFonts w:hint="eastAsia" w:eastAsia="Times New Roman"/>
          <w:sz w:val="20"/>
          <w:szCs w:val="20"/>
        </w:rPr>
        <w:t xml:space="preserve"> beams. Specifically, the UEs are equipped with two receive panels with 4 beams along the horizontal dimension and 2 beams along the vertical dimension. Besides, we consider both the cases where the training set contains 50,000 and 900,000 </w:t>
      </w:r>
      <w:r>
        <w:rPr>
          <w:rFonts w:eastAsia="Times New Roman"/>
          <w:sz w:val="20"/>
          <w:szCs w:val="20"/>
        </w:rPr>
        <w:t>samples</w:t>
      </w:r>
      <w:r>
        <w:rPr>
          <w:rFonts w:hint="eastAsia" w:eastAsia="Times New Roman"/>
          <w:sz w:val="20"/>
          <w:szCs w:val="20"/>
        </w:rPr>
        <w:t xml:space="preserve">, respectively. </w:t>
      </w:r>
      <w:r>
        <w:rPr>
          <w:rFonts w:eastAsia="Times New Roman"/>
          <w:sz w:val="20"/>
          <w:szCs w:val="20"/>
        </w:rPr>
        <w:t>The</w:t>
      </w:r>
      <w:r>
        <w:rPr>
          <w:rFonts w:hint="eastAsia" w:eastAsia="Times New Roman"/>
          <w:sz w:val="20"/>
          <w:szCs w:val="20"/>
        </w:rPr>
        <w:t xml:space="preserve"> </w:t>
      </w:r>
      <w:r>
        <w:rPr>
          <w:rFonts w:eastAsia="Times New Roman"/>
          <w:sz w:val="20"/>
          <w:szCs w:val="20"/>
        </w:rPr>
        <w:t>corresponding simulation results are specified below.</w:t>
      </w:r>
    </w:p>
    <w:p>
      <w:pPr>
        <w:spacing w:before="72" w:beforeLines="30" w:after="72" w:afterLines="30" w:line="288" w:lineRule="auto"/>
        <w:jc w:val="both"/>
        <w:rPr>
          <w:rFonts w:eastAsia="Times New Roman"/>
          <w:sz w:val="20"/>
          <w:szCs w:val="20"/>
        </w:rPr>
      </w:pPr>
    </w:p>
    <w:p>
      <w:pPr>
        <w:widowControl w:val="0"/>
        <w:snapToGrid w:val="0"/>
        <w:spacing w:before="120" w:after="120" w:afterLines="50" w:line="240" w:lineRule="auto"/>
        <w:jc w:val="center"/>
      </w:pPr>
      <w:r>
        <w:drawing>
          <wp:inline distT="0" distB="0" distL="114300" distR="114300">
            <wp:extent cx="2621280" cy="1993900"/>
            <wp:effectExtent l="0" t="0" r="762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2621280" cy="1993900"/>
                    </a:xfrm>
                    <a:prstGeom prst="rect">
                      <a:avLst/>
                    </a:prstGeom>
                    <a:noFill/>
                    <a:ln>
                      <a:noFill/>
                    </a:ln>
                  </pic:spPr>
                </pic:pic>
              </a:graphicData>
            </a:graphic>
          </wp:inline>
        </w:drawing>
      </w:r>
      <w:r>
        <w:rPr>
          <w:rFonts w:hint="eastAsia"/>
        </w:rPr>
        <w:t xml:space="preserve">     </w:t>
      </w:r>
      <w:r>
        <w:drawing>
          <wp:inline distT="0" distB="0" distL="114300" distR="114300">
            <wp:extent cx="2667000" cy="2003425"/>
            <wp:effectExtent l="0" t="0" r="0" b="31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2667000" cy="2003425"/>
                    </a:xfrm>
                    <a:prstGeom prst="rect">
                      <a:avLst/>
                    </a:prstGeom>
                    <a:noFill/>
                    <a:ln>
                      <a:noFill/>
                    </a:ln>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rPr>
        <w:t xml:space="preserve">Figure 3-2. CDFs of RSRP difference between the AI-predicted beam and ideal beam with 50,000 training </w:t>
      </w:r>
      <w:r>
        <w:rPr>
          <w:rFonts w:eastAsia="Times New Roman"/>
          <w:sz w:val="20"/>
          <w:szCs w:val="20"/>
        </w:rPr>
        <w:t>samples</w:t>
      </w:r>
      <w:r>
        <w:rPr>
          <w:rFonts w:hint="eastAsia" w:eastAsia="Times New Roman"/>
          <w:sz w:val="20"/>
          <w:szCs w:val="20"/>
        </w:rPr>
        <w:t xml:space="preserve"> (shown on the left figure) and 900,000 training </w:t>
      </w:r>
      <w:r>
        <w:rPr>
          <w:rFonts w:eastAsia="Times New Roman"/>
          <w:sz w:val="20"/>
          <w:szCs w:val="20"/>
        </w:rPr>
        <w:t>samples</w:t>
      </w:r>
      <w:r>
        <w:rPr>
          <w:rFonts w:hint="eastAsia" w:eastAsia="Times New Roman"/>
          <w:sz w:val="20"/>
          <w:szCs w:val="20"/>
        </w:rPr>
        <w:t xml:space="preserve"> (shown on the right figure)</w:t>
      </w:r>
    </w:p>
    <w:p>
      <w:pPr>
        <w:spacing w:before="72" w:beforeLines="30" w:after="72" w:afterLines="30" w:line="288" w:lineRule="auto"/>
        <w:jc w:val="center"/>
        <w:rPr>
          <w:rFonts w:eastAsia="Times New Roman"/>
          <w:sz w:val="20"/>
          <w:szCs w:val="20"/>
        </w:rPr>
      </w:pPr>
    </w:p>
    <w:p>
      <w:pPr>
        <w:spacing w:before="72" w:beforeLines="30" w:after="72" w:afterLines="30" w:line="288" w:lineRule="auto"/>
        <w:jc w:val="center"/>
        <w:rPr>
          <w:rFonts w:eastAsia="Times New Roman"/>
          <w:sz w:val="20"/>
          <w:szCs w:val="20"/>
        </w:rPr>
      </w:pPr>
      <w:r>
        <w:rPr>
          <w:rFonts w:hint="eastAsia" w:eastAsia="Times New Roman"/>
          <w:sz w:val="20"/>
          <w:szCs w:val="20"/>
        </w:rPr>
        <w:t>Table III. Top-K prediction accuracy for different sampling cases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0"/>
        <w:gridCol w:w="1067"/>
        <w:gridCol w:w="1066"/>
        <w:gridCol w:w="1117"/>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vMerge w:val="restart"/>
            <w:tcBorders>
              <w:top w:val="single" w:color="000000" w:sz="8" w:space="0"/>
              <w:left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p>
        </w:tc>
        <w:tc>
          <w:tcPr>
            <w:tcW w:w="0" w:type="auto"/>
            <w:gridSpan w:val="2"/>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50,000 training samples</w:t>
            </w:r>
          </w:p>
        </w:tc>
        <w:tc>
          <w:tcPr>
            <w:tcW w:w="0" w:type="auto"/>
            <w:gridSpan w:val="2"/>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900,000 training samples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0" w:type="dxa"/>
            <w:vMerge w:val="continue"/>
            <w:tcBorders>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p>
        </w:tc>
        <w:tc>
          <w:tcPr>
            <w:tcW w:w="1067" w:type="dxa"/>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Case1</w:t>
            </w:r>
          </w:p>
        </w:tc>
        <w:tc>
          <w:tcPr>
            <w:tcW w:w="1066" w:type="dxa"/>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Case2</w:t>
            </w:r>
          </w:p>
        </w:tc>
        <w:tc>
          <w:tcPr>
            <w:tcW w:w="0" w:type="auto"/>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Case1</w:t>
            </w:r>
          </w:p>
        </w:tc>
        <w:tc>
          <w:tcPr>
            <w:tcW w:w="0" w:type="auto"/>
            <w:tcBorders>
              <w:top w:val="single" w:color="000000" w:sz="8"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Case2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Average RSRP difference (dB)</w:t>
            </w:r>
          </w:p>
        </w:tc>
        <w:tc>
          <w:tcPr>
            <w:tcW w:w="1067" w:type="dxa"/>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1.003</w:t>
            </w:r>
          </w:p>
        </w:tc>
        <w:tc>
          <w:tcPr>
            <w:tcW w:w="1066" w:type="dxa"/>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1.460</w:t>
            </w:r>
          </w:p>
        </w:tc>
        <w:tc>
          <w:tcPr>
            <w:tcW w:w="0" w:type="auto"/>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0.0462</w:t>
            </w:r>
          </w:p>
        </w:tc>
        <w:tc>
          <w:tcPr>
            <w:tcW w:w="0" w:type="auto"/>
            <w:tcBorders>
              <w:top w:val="single" w:color="000000" w:sz="8"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0.0919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Top-1 prediction accuracy</w:t>
            </w:r>
          </w:p>
        </w:tc>
        <w:tc>
          <w:tcPr>
            <w:tcW w:w="1067" w:type="dxa"/>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50.34</w:t>
            </w:r>
            <w:r>
              <w:rPr>
                <w:rFonts w:eastAsia="Times New Roman"/>
                <w:color w:val="000000"/>
                <w:sz w:val="20"/>
                <w:szCs w:val="20"/>
              </w:rPr>
              <w:t>%</w:t>
            </w:r>
          </w:p>
        </w:tc>
        <w:tc>
          <w:tcPr>
            <w:tcW w:w="1066" w:type="dxa"/>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35.81</w:t>
            </w:r>
            <w:r>
              <w:rPr>
                <w:rFonts w:eastAsia="Times New Roman"/>
                <w:color w:val="000000"/>
                <w:sz w:val="20"/>
                <w:szCs w:val="20"/>
              </w:rPr>
              <w:t>%</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97.37</w:t>
            </w:r>
            <w:r>
              <w:rPr>
                <w:rFonts w:eastAsia="Times New Roman"/>
                <w:color w:val="000000"/>
                <w:sz w:val="20"/>
                <w:szCs w:val="20"/>
              </w:rPr>
              <w:t>%</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93.93</w:t>
            </w:r>
            <w:r>
              <w:rPr>
                <w:rFonts w:eastAsia="Times New Roman"/>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eastAsia="Times New Roman"/>
                <w:color w:val="000000"/>
                <w:sz w:val="20"/>
                <w:szCs w:val="20"/>
              </w:rPr>
              <w:t>Top-5 prediction accuracy</w:t>
            </w:r>
          </w:p>
        </w:tc>
        <w:tc>
          <w:tcPr>
            <w:tcW w:w="1067" w:type="dxa"/>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75.52</w:t>
            </w:r>
            <w:r>
              <w:rPr>
                <w:rFonts w:eastAsia="Times New Roman"/>
                <w:color w:val="000000"/>
                <w:sz w:val="20"/>
                <w:szCs w:val="20"/>
              </w:rPr>
              <w:t>%</w:t>
            </w:r>
          </w:p>
        </w:tc>
        <w:tc>
          <w:tcPr>
            <w:tcW w:w="1066" w:type="dxa"/>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62.30</w:t>
            </w:r>
            <w:r>
              <w:rPr>
                <w:rFonts w:eastAsia="Times New Roman"/>
                <w:color w:val="000000"/>
                <w:sz w:val="20"/>
                <w:szCs w:val="20"/>
              </w:rPr>
              <w:t>%</w:t>
            </w:r>
          </w:p>
        </w:tc>
        <w:tc>
          <w:tcPr>
            <w:tcW w:w="0" w:type="auto"/>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99.97</w:t>
            </w:r>
            <w:r>
              <w:rPr>
                <w:rFonts w:eastAsia="Times New Roman"/>
                <w:color w:val="000000"/>
                <w:sz w:val="20"/>
                <w:szCs w:val="20"/>
              </w:rPr>
              <w:t>%</w:t>
            </w:r>
          </w:p>
        </w:tc>
        <w:tc>
          <w:tcPr>
            <w:tcW w:w="0" w:type="auto"/>
            <w:tcBorders>
              <w:top w:val="dotted" w:color="auto" w:sz="4" w:space="0"/>
              <w:left w:val="dotted" w:color="auto" w:sz="4" w:space="0"/>
              <w:bottom w:val="single" w:color="000000" w:sz="8" w:space="0"/>
              <w:right w:val="dotted" w:color="auto" w:sz="4" w:space="0"/>
            </w:tcBorders>
            <w:shd w:val="clear" w:color="auto" w:fill="FFFFFF"/>
            <w:vAlign w:val="center"/>
          </w:tcPr>
          <w:p>
            <w:pPr>
              <w:spacing w:before="72" w:beforeLines="30" w:after="72" w:afterLines="30" w:line="288" w:lineRule="auto"/>
              <w:jc w:val="center"/>
              <w:rPr>
                <w:rFonts w:eastAsia="Times New Roman"/>
                <w:color w:val="000000"/>
                <w:sz w:val="20"/>
                <w:szCs w:val="20"/>
              </w:rPr>
            </w:pPr>
            <w:r>
              <w:rPr>
                <w:rFonts w:hint="eastAsia" w:eastAsia="Times New Roman"/>
                <w:color w:val="000000"/>
                <w:sz w:val="20"/>
                <w:szCs w:val="20"/>
              </w:rPr>
              <w:t>99.73</w:t>
            </w:r>
            <w:r>
              <w:rPr>
                <w:rFonts w:eastAsia="Times New Roman"/>
                <w:color w:val="000000"/>
                <w:sz w:val="20"/>
                <w:szCs w:val="20"/>
              </w:rPr>
              <w:t>%</w:t>
            </w:r>
          </w:p>
        </w:tc>
      </w:tr>
    </w:tbl>
    <w:p>
      <w:pPr>
        <w:spacing w:before="72" w:beforeLines="30" w:after="72" w:afterLines="30" w:line="288" w:lineRule="auto"/>
        <w:jc w:val="both"/>
        <w:rPr>
          <w:rFonts w:eastAsia="Times New Roman"/>
          <w:sz w:val="20"/>
          <w:szCs w:val="20"/>
        </w:rPr>
      </w:pPr>
    </w:p>
    <w:p>
      <w:pPr>
        <w:spacing w:before="72" w:beforeLines="30" w:after="72" w:afterLines="30" w:line="288" w:lineRule="auto"/>
        <w:jc w:val="both"/>
        <w:rPr>
          <w:rFonts w:eastAsia="Times New Roman"/>
          <w:sz w:val="20"/>
          <w:szCs w:val="20"/>
        </w:rPr>
      </w:pPr>
      <w:r>
        <w:rPr>
          <w:rFonts w:hint="eastAsia" w:eastAsia="Times New Roman"/>
          <w:sz w:val="20"/>
          <w:szCs w:val="20"/>
        </w:rPr>
        <w:t>As can be concluded from Figure 3-2, when the training set size is 50,000 samples, the AI model does not converge to a satisfactory level due to the increased number of receive beams. Enlarging the training set greatly improved the accuracy of AI-based beam predictions. Besides, as shown in Table III, 97.37% prediction accuracy is achieved with only 12.5% (64/512) beam overheads being activated. Moreover, the prediction accuracy could be further improved by increasing K.</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6: </w:t>
      </w:r>
      <w:r>
        <w:rPr>
          <w:rFonts w:hint="eastAsia" w:eastAsia="Times New Roman"/>
          <w:i/>
          <w:iCs/>
          <w:sz w:val="20"/>
          <w:szCs w:val="20"/>
        </w:rPr>
        <w:t xml:space="preserve">The AI/ML based spatial-domain beam prediction achieves sufficiently high performance with only 12.5% beam overheads being activated. </w:t>
      </w:r>
    </w:p>
    <w:p>
      <w:pPr>
        <w:spacing w:before="72" w:beforeLines="30" w:after="72" w:afterLines="30" w:line="288" w:lineRule="auto"/>
        <w:jc w:val="both"/>
      </w:pPr>
      <w:r>
        <w:rPr>
          <w:rFonts w:hint="eastAsia" w:eastAsia="Times New Roman"/>
          <w:b/>
          <w:bCs/>
          <w:i/>
          <w:iCs/>
          <w:sz w:val="20"/>
          <w:szCs w:val="20"/>
        </w:rPr>
        <w:t>Observation 7:</w:t>
      </w:r>
      <w:r>
        <w:rPr>
          <w:rFonts w:hint="eastAsia" w:eastAsia="Times New Roman"/>
          <w:i/>
          <w:iCs/>
          <w:sz w:val="20"/>
          <w:szCs w:val="20"/>
        </w:rPr>
        <w:t xml:space="preserve"> The accuracy of the AI/ML based spatial-domain beam prediction could be further improved by increasing the number of likely predicted beams according to different probabilities of the AI output.</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Time-domain beam prediction</w:t>
      </w:r>
      <w:r>
        <w:rPr>
          <w:b/>
          <w:sz w:val="24"/>
          <w:szCs w:val="20"/>
        </w:rPr>
        <w:t xml:space="preserve"> in high-speed train scenario</w:t>
      </w:r>
    </w:p>
    <w:p>
      <w:pPr>
        <w:snapToGrid w:val="0"/>
        <w:spacing w:before="120" w:after="120" w:afterLines="50" w:line="300" w:lineRule="auto"/>
        <w:jc w:val="both"/>
        <w:rPr>
          <w:rFonts w:eastAsia="微软雅黑"/>
          <w:sz w:val="20"/>
          <w:szCs w:val="20"/>
        </w:rPr>
      </w:pPr>
      <w:r>
        <w:rPr>
          <w:rFonts w:eastAsia="微软雅黑"/>
          <w:sz w:val="20"/>
          <w:szCs w:val="20"/>
        </w:rPr>
        <w:t>In a high-speed train (HST) scenario as shown in Figure 3-3, the railway with a crossing to be simulated comprises two parts, i.e., a straight line (i.e., P</w:t>
      </w:r>
      <w:r>
        <w:rPr>
          <w:rFonts w:hint="eastAsia" w:eastAsia="微软雅黑"/>
          <w:sz w:val="20"/>
          <w:szCs w:val="20"/>
        </w:rPr>
        <w:t>-</w:t>
      </w:r>
      <w:r>
        <w:rPr>
          <w:rFonts w:eastAsia="微软雅黑"/>
          <w:sz w:val="20"/>
          <w:szCs w:val="20"/>
        </w:rPr>
        <w:t>&gt;M) and a curve (i.e., P-&gt;N) in order to emulate typical HST deployment. The radius for curve-line is 5500m according to the national regulation “Code for Design of High Speed Railway” in China [2], and inter-RRH distance is 200m. Antenna configuration for each RRH is [M, N, P, Mg</w:t>
      </w:r>
      <w:r>
        <w:rPr>
          <w:rFonts w:hint="eastAsia" w:eastAsia="微软雅黑"/>
          <w:sz w:val="20"/>
          <w:szCs w:val="20"/>
        </w:rPr>
        <w:t>,</w:t>
      </w:r>
      <w:r>
        <w:rPr>
          <w:rFonts w:eastAsia="微软雅黑"/>
          <w:sz w:val="20"/>
          <w:szCs w:val="20"/>
        </w:rPr>
        <w:t xml:space="preserve"> Ng] = [4, 8, 2, 2, 2]. The assumed speed of a UE is 300 km/h, and a total of 50 UE(s) with 3 panels ([M, N, P, Mg, Ng] = [1, 4, 2, 1, 3] as agreed in R17 FeMIMO EVM) are considered as a typical case. </w:t>
      </w:r>
    </w:p>
    <w:p>
      <w:pPr>
        <w:snapToGrid w:val="0"/>
        <w:spacing w:before="120" w:after="120" w:afterLines="50" w:line="300" w:lineRule="auto"/>
        <w:jc w:val="both"/>
        <w:rPr>
          <w:rFonts w:eastAsia="微软雅黑"/>
          <w:sz w:val="20"/>
          <w:szCs w:val="20"/>
          <w:lang w:val="en-GB"/>
        </w:rPr>
      </w:pPr>
    </w:p>
    <w:p>
      <w:pPr>
        <w:snapToGrid w:val="0"/>
        <w:spacing w:before="120" w:after="120" w:afterLines="50" w:line="300" w:lineRule="auto"/>
        <w:jc w:val="both"/>
        <w:rPr>
          <w:rFonts w:eastAsia="微软雅黑"/>
          <w:sz w:val="20"/>
          <w:szCs w:val="20"/>
        </w:rPr>
      </w:pPr>
      <w:r>
        <w:rPr>
          <w:rFonts w:eastAsia="微软雅黑"/>
          <w:sz w:val="20"/>
          <w:szCs w:val="20"/>
        </w:rPr>
        <w:t>Here we consider line rail cases besides for curve one, and some of RRHs are re-located for adapting this combined cases. Therefore, if not highlighting line or curve, it is assumed that the UE travels along with the line and curve railways with each of 50% probability.</w:t>
      </w:r>
    </w:p>
    <w:p>
      <w:pPr>
        <w:pStyle w:val="99"/>
        <w:snapToGrid w:val="0"/>
        <w:spacing w:before="120" w:after="120" w:afterLines="50" w:line="300" w:lineRule="auto"/>
        <w:ind w:left="360" w:firstLine="0" w:firstLineChars="0"/>
        <w:jc w:val="center"/>
      </w:pPr>
      <w:r>
        <w:object>
          <v:shape id="_x0000_i1025" o:spt="75" type="#_x0000_t75" style="height:307.5pt;width:367.5pt;" o:ole="t" filled="f" o:preferrelative="t" stroked="f" coordsize="21600,21600">
            <v:path/>
            <v:fill on="f" focussize="0,0"/>
            <v:stroke on="f" joinstyle="miter"/>
            <v:imagedata r:id="rId13" o:title=""/>
            <o:lock v:ext="edit" aspectratio="t"/>
            <w10:wrap type="none"/>
            <w10:anchorlock/>
          </v:shape>
          <o:OLEObject Type="Embed" ProgID="Visio.Drawing.11" ShapeID="_x0000_i1025" DrawAspect="Content" ObjectID="_1468075725" r:id="rId12">
            <o:LockedField>false</o:LockedField>
          </o:OLEObject>
        </w:object>
      </w:r>
    </w:p>
    <w:p>
      <w:pPr>
        <w:pStyle w:val="99"/>
        <w:overflowPunct w:val="0"/>
        <w:autoSpaceDE w:val="0"/>
        <w:autoSpaceDN w:val="0"/>
        <w:adjustRightInd w:val="0"/>
        <w:snapToGrid w:val="0"/>
        <w:spacing w:before="120" w:beforeLines="50" w:after="120" w:line="300" w:lineRule="auto"/>
        <w:ind w:left="360" w:firstLine="0" w:firstLineChars="0"/>
        <w:jc w:val="center"/>
        <w:textAlignment w:val="baseline"/>
        <w:rPr>
          <w:rFonts w:hint="eastAsia" w:eastAsia="微软雅黑"/>
          <w:sz w:val="20"/>
          <w:szCs w:val="20"/>
        </w:rPr>
      </w:pPr>
      <w:r>
        <w:rPr>
          <w:rFonts w:hint="eastAsia"/>
          <w:b/>
          <w:sz w:val="20"/>
          <w:szCs w:val="20"/>
        </w:rPr>
        <w:t>Fig</w:t>
      </w:r>
      <w:r>
        <w:rPr>
          <w:b/>
          <w:sz w:val="20"/>
          <w:szCs w:val="20"/>
        </w:rPr>
        <w:t>ure</w:t>
      </w:r>
      <w:r>
        <w:rPr>
          <w:rFonts w:hint="eastAsia"/>
          <w:b/>
          <w:sz w:val="20"/>
          <w:szCs w:val="20"/>
        </w:rPr>
        <w:t xml:space="preserve"> </w:t>
      </w:r>
      <w:r>
        <w:rPr>
          <w:b/>
          <w:sz w:val="20"/>
          <w:szCs w:val="20"/>
        </w:rPr>
        <w:t>3-3</w:t>
      </w:r>
      <w:r>
        <w:rPr>
          <w:rFonts w:hint="eastAsia"/>
          <w:sz w:val="20"/>
          <w:szCs w:val="20"/>
        </w:rPr>
        <w:t xml:space="preserve"> </w:t>
      </w:r>
      <w:r>
        <w:rPr>
          <w:sz w:val="20"/>
          <w:szCs w:val="20"/>
        </w:rPr>
        <w:t>Intra-cell mobility in high-speed train (HST) scenario</w:t>
      </w:r>
    </w:p>
    <w:p>
      <w:pPr>
        <w:snapToGrid w:val="0"/>
        <w:spacing w:before="120" w:after="120" w:afterLines="50" w:line="300" w:lineRule="auto"/>
        <w:jc w:val="both"/>
        <w:rPr>
          <w:rFonts w:eastAsia="微软雅黑"/>
          <w:sz w:val="20"/>
          <w:szCs w:val="20"/>
        </w:rPr>
      </w:pPr>
      <w:r>
        <w:rPr>
          <w:rFonts w:eastAsia="微软雅黑"/>
          <w:sz w:val="20"/>
          <w:szCs w:val="20"/>
        </w:rPr>
        <w:t>Then we evaluate SLS performance for predictable beam management based approach compared with traditional beam management as a baseline.</w:t>
      </w:r>
    </w:p>
    <w:p>
      <w:pPr>
        <w:pStyle w:val="99"/>
        <w:numPr>
          <w:ilvl w:val="0"/>
          <w:numId w:val="11"/>
        </w:numPr>
        <w:snapToGrid w:val="0"/>
        <w:spacing w:before="120" w:after="120" w:afterLines="50" w:line="300" w:lineRule="auto"/>
        <w:ind w:firstLineChars="0"/>
        <w:jc w:val="both"/>
        <w:rPr>
          <w:rFonts w:eastAsia="微软雅黑"/>
          <w:sz w:val="20"/>
          <w:szCs w:val="20"/>
        </w:rPr>
      </w:pPr>
      <w:r>
        <w:rPr>
          <w:rFonts w:hint="eastAsia" w:eastAsia="微软雅黑"/>
          <w:sz w:val="20"/>
          <w:szCs w:val="20"/>
        </w:rPr>
        <w:t>R</w:t>
      </w:r>
      <w:r>
        <w:rPr>
          <w:rFonts w:eastAsia="微软雅黑"/>
          <w:sz w:val="20"/>
          <w:szCs w:val="20"/>
        </w:rPr>
        <w:t xml:space="preserve">egarding predictable beam management based approach, we firstly randomly generate tested drops, and for each drop we emulate gradual change of physical path(s)/cluster(s) while a UE travels across railway, according to spatial consistency model in TS 38.901. </w:t>
      </w:r>
    </w:p>
    <w:p>
      <w:pPr>
        <w:pStyle w:val="99"/>
        <w:numPr>
          <w:ilvl w:val="1"/>
          <w:numId w:val="8"/>
        </w:numPr>
        <w:overflowPunct w:val="0"/>
        <w:autoSpaceDE w:val="0"/>
        <w:autoSpaceDN w:val="0"/>
        <w:adjustRightInd w:val="0"/>
        <w:snapToGrid w:val="0"/>
        <w:spacing w:before="120" w:beforeLines="50" w:after="120" w:line="300" w:lineRule="auto"/>
        <w:ind w:firstLineChars="0"/>
        <w:jc w:val="both"/>
        <w:textAlignment w:val="baseline"/>
        <w:rPr>
          <w:rFonts w:eastAsia="微软雅黑"/>
          <w:sz w:val="20"/>
          <w:szCs w:val="20"/>
        </w:rPr>
      </w:pPr>
      <w:r>
        <w:rPr>
          <w:sz w:val="20"/>
          <w:szCs w:val="20"/>
        </w:rPr>
        <w:t xml:space="preserve">From the perspective of inputs for AI model for estimating UE trajectory, time of arrival (ToA), beam ID (corresponding to DL-AoD) and RRH ID can be considered for training </w:t>
      </w:r>
      <w:r>
        <w:rPr>
          <w:sz w:val="20"/>
          <w:szCs w:val="20"/>
          <w:lang w:val="en-GB"/>
        </w:rPr>
        <w:t xml:space="preserve">deep neural network (DNN) algorithm </w:t>
      </w:r>
      <w:r>
        <w:rPr>
          <w:sz w:val="20"/>
          <w:szCs w:val="20"/>
        </w:rPr>
        <w:t xml:space="preserve">and subsequent estimation. </w:t>
      </w:r>
      <w:r>
        <w:rPr>
          <w:rFonts w:eastAsia="微软雅黑"/>
          <w:sz w:val="20"/>
          <w:szCs w:val="20"/>
        </w:rPr>
        <w:t>Then, a time-domain interval between neighboring samples is 200ms, and the predictable Tx-Rx beam pattern is applied to the subsequent period (i.e., 1 second in such simulation), which is shown in Figure 3-4.</w:t>
      </w:r>
    </w:p>
    <w:p>
      <w:pPr>
        <w:pStyle w:val="99"/>
        <w:numPr>
          <w:ilvl w:val="1"/>
          <w:numId w:val="8"/>
        </w:numPr>
        <w:overflowPunct w:val="0"/>
        <w:autoSpaceDE w:val="0"/>
        <w:autoSpaceDN w:val="0"/>
        <w:adjustRightInd w:val="0"/>
        <w:snapToGrid w:val="0"/>
        <w:spacing w:before="120" w:beforeLines="50" w:after="120" w:line="300" w:lineRule="auto"/>
        <w:ind w:firstLineChars="0"/>
        <w:jc w:val="both"/>
        <w:textAlignment w:val="baseline"/>
        <w:rPr>
          <w:rFonts w:eastAsia="微软雅黑"/>
          <w:sz w:val="20"/>
          <w:szCs w:val="20"/>
        </w:rPr>
      </w:pPr>
      <w:r>
        <w:rPr>
          <w:rFonts w:eastAsia="微软雅黑"/>
          <w:sz w:val="20"/>
          <w:szCs w:val="20"/>
        </w:rPr>
        <w:t>Furthermore, the proposed</w:t>
      </w:r>
      <w:r>
        <w:rPr>
          <w:sz w:val="20"/>
          <w:szCs w:val="20"/>
          <w:lang w:val="en-GB"/>
        </w:rPr>
        <w:t xml:space="preserve"> predictable method enabled by DNN algorithm is shown in Figure 3-5. The method comprises two parts: DNN based predictable model for estimating UE trajectory and beam prediction approach that is embedded with UE beam pattern dictionary. The former is to estimate the parameters for determining </w:t>
      </w:r>
      <w:r>
        <w:rPr>
          <w:sz w:val="20"/>
          <w:szCs w:val="20"/>
        </w:rPr>
        <w:t>UE relative beam location</w:t>
      </w:r>
      <w:r>
        <w:rPr>
          <w:sz w:val="20"/>
          <w:szCs w:val="20"/>
          <w:lang w:val="en-GB"/>
        </w:rPr>
        <w:t xml:space="preserve">, beam transition speed and map ID corresponding to </w:t>
      </w:r>
      <w:r>
        <w:rPr>
          <w:sz w:val="20"/>
          <w:szCs w:val="20"/>
        </w:rPr>
        <w:t xml:space="preserve">which type of pattern is to be used. In such case, the candidate map includes two rails (straight line and curve) and related UE movement direction. </w:t>
      </w:r>
    </w:p>
    <w:p>
      <w:pPr>
        <w:pStyle w:val="99"/>
        <w:numPr>
          <w:ilvl w:val="1"/>
          <w:numId w:val="8"/>
        </w:numPr>
        <w:overflowPunct w:val="0"/>
        <w:autoSpaceDE w:val="0"/>
        <w:autoSpaceDN w:val="0"/>
        <w:adjustRightInd w:val="0"/>
        <w:snapToGrid w:val="0"/>
        <w:spacing w:before="120" w:beforeLines="50" w:after="120" w:line="300" w:lineRule="auto"/>
        <w:ind w:firstLineChars="0"/>
        <w:jc w:val="both"/>
        <w:textAlignment w:val="baseline"/>
        <w:rPr>
          <w:rFonts w:eastAsia="微软雅黑"/>
          <w:sz w:val="20"/>
          <w:szCs w:val="20"/>
        </w:rPr>
      </w:pPr>
      <w:r>
        <w:rPr>
          <w:rFonts w:eastAsia="微软雅黑"/>
          <w:sz w:val="20"/>
          <w:szCs w:val="20"/>
        </w:rPr>
        <w:t xml:space="preserve">After that, we directly use the output results of gNB and UE Tx-Rx beam pair and corresponding UE Rx panel for performance-evaluated </w:t>
      </w:r>
      <w:r>
        <w:rPr>
          <w:sz w:val="20"/>
          <w:szCs w:val="20"/>
          <w:lang w:val="en-GB"/>
        </w:rPr>
        <w:t>drops</w:t>
      </w:r>
      <w:r>
        <w:rPr>
          <w:rFonts w:eastAsia="微软雅黑"/>
          <w:sz w:val="20"/>
          <w:szCs w:val="20"/>
        </w:rPr>
        <w:t xml:space="preserve"> which are independently generated from the already tested ones, and there is NO further beam measurement for tracking. Also due to the advanced beam indication, the latency of beam indication is assumed as 0 ms. </w:t>
      </w:r>
    </w:p>
    <w:p>
      <w:pPr>
        <w:snapToGrid w:val="0"/>
        <w:spacing w:before="120" w:after="120" w:afterLines="50" w:line="300" w:lineRule="auto"/>
        <w:jc w:val="center"/>
        <w:rPr>
          <w:rFonts w:eastAsia="微软雅黑"/>
          <w:szCs w:val="20"/>
        </w:rPr>
      </w:pPr>
      <w:r>
        <w:object>
          <v:shape id="_x0000_i1026" o:spt="75" type="#_x0000_t75" style="height:86pt;width:467.5pt;" o:ole="t" filled="f" o:preferrelative="t" stroked="f" coordsize="21600,21600">
            <v:path/>
            <v:fill on="f" focussize="0,0"/>
            <v:stroke on="f" joinstyle="miter"/>
            <v:imagedata r:id="rId15" o:title=""/>
            <o:lock v:ext="edit" aspectratio="t"/>
            <w10:wrap type="none"/>
            <w10:anchorlock/>
          </v:shape>
          <o:OLEObject Type="Embed" ProgID="Visio.Drawing.11" ShapeID="_x0000_i1026" DrawAspect="Content" ObjectID="_1468075726" r:id="rId1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 w:val="20"/>
          <w:szCs w:val="20"/>
          <w:lang w:val="en-GB"/>
        </w:rPr>
      </w:pPr>
      <w:r>
        <w:rPr>
          <w:b/>
          <w:sz w:val="20"/>
          <w:szCs w:val="20"/>
        </w:rPr>
        <w:t>Figure 3-4</w:t>
      </w:r>
      <w:r>
        <w:rPr>
          <w:rFonts w:hint="eastAsia"/>
          <w:sz w:val="20"/>
          <w:szCs w:val="20"/>
        </w:rPr>
        <w:t xml:space="preserve"> </w:t>
      </w:r>
      <w:r>
        <w:rPr>
          <w:sz w:val="20"/>
          <w:szCs w:val="20"/>
        </w:rPr>
        <w:t>Illustration of measuring neighboring samples for prediction and applying the corresponding beam pattern</w:t>
      </w:r>
    </w:p>
    <w:p>
      <w:pPr>
        <w:overflowPunct w:val="0"/>
        <w:autoSpaceDE w:val="0"/>
        <w:autoSpaceDN w:val="0"/>
        <w:adjustRightInd w:val="0"/>
        <w:snapToGrid w:val="0"/>
        <w:spacing w:before="120" w:beforeLines="50" w:after="120" w:line="300" w:lineRule="auto"/>
        <w:jc w:val="center"/>
        <w:textAlignment w:val="baseline"/>
      </w:pPr>
      <w:r>
        <w:object>
          <v:shape id="_x0000_i1027" o:spt="75" type="#_x0000_t75" style="height:110.5pt;width:468pt;" o:ole="t" filled="f" o:preferrelative="t" stroked="f" coordsize="21600,21600">
            <v:path/>
            <v:fill on="f" focussize="0,0"/>
            <v:stroke on="f" joinstyle="miter"/>
            <v:imagedata r:id="rId17" o:title=""/>
            <o:lock v:ext="edit" aspectratio="t"/>
            <w10:wrap type="none"/>
            <w10:anchorlock/>
          </v:shape>
          <o:OLEObject Type="Embed" ProgID="Visio.Drawing.11" ShapeID="_x0000_i1027" DrawAspect="Content" ObjectID="_1468075727" r:id="rId16">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 w:val="20"/>
          <w:szCs w:val="20"/>
          <w:lang w:val="en-GB"/>
        </w:rPr>
      </w:pPr>
      <w:r>
        <w:rPr>
          <w:b/>
          <w:sz w:val="20"/>
          <w:szCs w:val="20"/>
        </w:rPr>
        <w:t>Figure 3-5</w:t>
      </w:r>
      <w:r>
        <w:rPr>
          <w:rFonts w:hint="eastAsia"/>
          <w:sz w:val="20"/>
          <w:szCs w:val="20"/>
        </w:rPr>
        <w:t xml:space="preserve"> </w:t>
      </w:r>
      <w:r>
        <w:rPr>
          <w:sz w:val="20"/>
          <w:szCs w:val="20"/>
          <w:lang w:val="en-GB"/>
        </w:rPr>
        <w:t>DNN based predictable method for beam management</w:t>
      </w:r>
    </w:p>
    <w:p>
      <w:pPr>
        <w:pStyle w:val="99"/>
        <w:numPr>
          <w:ilvl w:val="0"/>
          <w:numId w:val="11"/>
        </w:numPr>
        <w:snapToGrid w:val="0"/>
        <w:spacing w:before="120" w:after="120" w:afterLines="50" w:line="300" w:lineRule="auto"/>
        <w:ind w:firstLineChars="0"/>
        <w:jc w:val="both"/>
        <w:rPr>
          <w:rFonts w:eastAsia="微软雅黑"/>
          <w:sz w:val="20"/>
          <w:szCs w:val="20"/>
        </w:rPr>
      </w:pPr>
      <w:r>
        <w:rPr>
          <w:rFonts w:eastAsia="微软雅黑"/>
          <w:sz w:val="20"/>
          <w:szCs w:val="20"/>
        </w:rPr>
        <w:t xml:space="preserve">Regarding traditional beam management approach, the period of beam tracking is set to 10 ms, and for each beam tracking, we only consider horizontally tracking </w:t>
      </w:r>
      <w:r>
        <w:rPr>
          <w:rFonts w:eastAsiaTheme="minorEastAsia"/>
          <w:sz w:val="20"/>
          <w:szCs w:val="20"/>
        </w:rPr>
        <w:t>3 candidate gNB Tx beams (current, left and right) and 3 candidate UE Rx beams (current, left and right)</w:t>
      </w:r>
      <w:r>
        <w:rPr>
          <w:rFonts w:eastAsia="微软雅黑"/>
          <w:sz w:val="20"/>
          <w:szCs w:val="20"/>
        </w:rPr>
        <w:t xml:space="preserve">, i.e., reusing 9 </w:t>
      </w:r>
      <w:r>
        <w:rPr>
          <w:rFonts w:eastAsiaTheme="minorEastAsia"/>
          <w:sz w:val="20"/>
          <w:szCs w:val="20"/>
        </w:rPr>
        <w:t>CSI-RS resources</w:t>
      </w:r>
      <w:r>
        <w:rPr>
          <w:rFonts w:eastAsia="微软雅黑"/>
          <w:sz w:val="20"/>
          <w:szCs w:val="20"/>
        </w:rPr>
        <w:t>. Meanwhile, through measuring SSB with periodicity of 20 ms, the global optimal gNB-UE beam pair is determined per 80 ms where we consider 4 candidate UE beams for a UE panel. The latency for beam indication is assumed as 5 ms.</w:t>
      </w:r>
    </w:p>
    <w:p>
      <w:pPr>
        <w:snapToGrid w:val="0"/>
        <w:spacing w:before="120" w:after="120" w:afterLines="50" w:line="300" w:lineRule="auto"/>
        <w:jc w:val="both"/>
        <w:rPr>
          <w:rFonts w:eastAsia="微软雅黑"/>
          <w:sz w:val="20"/>
          <w:szCs w:val="20"/>
          <w:lang w:val="en-GB"/>
        </w:rPr>
      </w:pPr>
      <w:r>
        <w:rPr>
          <w:rFonts w:eastAsia="微软雅黑"/>
          <w:sz w:val="20"/>
          <w:szCs w:val="20"/>
          <w:lang w:val="en-GB"/>
        </w:rPr>
        <w:t xml:space="preserve">The simulation results for DNN based approach for detecting map ID are provided in Table </w:t>
      </w:r>
      <w:r>
        <w:rPr>
          <w:rFonts w:hint="eastAsia" w:eastAsia="微软雅黑"/>
          <w:sz w:val="20"/>
          <w:szCs w:val="20"/>
          <w:lang w:val="en-US" w:eastAsia="zh-CN"/>
        </w:rPr>
        <w:t>VI</w:t>
      </w:r>
      <w:r>
        <w:rPr>
          <w:rFonts w:eastAsia="微软雅黑"/>
          <w:sz w:val="20"/>
          <w:szCs w:val="20"/>
          <w:lang w:val="en-GB"/>
        </w:rPr>
        <w:t xml:space="preserve">. </w:t>
      </w:r>
    </w:p>
    <w:p>
      <w:pPr>
        <w:pStyle w:val="99"/>
        <w:numPr>
          <w:ilvl w:val="0"/>
          <w:numId w:val="11"/>
        </w:numPr>
        <w:snapToGrid w:val="0"/>
        <w:spacing w:before="120" w:after="120" w:afterLines="50" w:line="300" w:lineRule="auto"/>
        <w:ind w:firstLineChars="0"/>
        <w:jc w:val="both"/>
        <w:rPr>
          <w:rFonts w:eastAsia="微软雅黑"/>
          <w:sz w:val="20"/>
          <w:szCs w:val="20"/>
          <w:lang w:val="en-GB"/>
        </w:rPr>
      </w:pPr>
      <w:r>
        <w:rPr>
          <w:rFonts w:eastAsia="微软雅黑"/>
          <w:sz w:val="20"/>
          <w:szCs w:val="20"/>
          <w:lang w:val="en-GB"/>
        </w:rPr>
        <w:t>In the line and curve scenarios, the successful detection ratio of map can be up to 99.82% and 99.67%. It should be noticed that the error cases only occurs in the red area as shown in Figure 3</w:t>
      </w:r>
      <w:r>
        <w:rPr>
          <w:rFonts w:hint="eastAsia" w:eastAsia="微软雅黑"/>
          <w:sz w:val="20"/>
          <w:szCs w:val="20"/>
          <w:lang w:val="en-US" w:eastAsia="zh-CN"/>
        </w:rPr>
        <w:t>-4</w:t>
      </w:r>
      <w:r>
        <w:rPr>
          <w:rFonts w:eastAsia="微软雅黑"/>
          <w:sz w:val="20"/>
          <w:szCs w:val="20"/>
          <w:lang w:val="en-GB"/>
        </w:rPr>
        <w:t xml:space="preserve"> where the UE is closed to the crossing of P-point within 30 m distance. In technical, the relative distance between line and curve is too close (no more than 0.082 m) and beyond the accuracy of ToA estimation. Once the UE is outside the red area, the successful detection ratios can increase to 100% accordingly. </w:t>
      </w:r>
    </w:p>
    <w:p>
      <w:pPr>
        <w:pStyle w:val="99"/>
        <w:numPr>
          <w:ilvl w:val="0"/>
          <w:numId w:val="11"/>
        </w:numPr>
        <w:snapToGrid w:val="0"/>
        <w:spacing w:before="120" w:after="120" w:afterLines="50" w:line="300" w:lineRule="auto"/>
        <w:ind w:firstLineChars="0"/>
        <w:jc w:val="both"/>
        <w:rPr>
          <w:rFonts w:eastAsia="微软雅黑"/>
          <w:sz w:val="20"/>
          <w:szCs w:val="20"/>
          <w:lang w:val="en-GB"/>
        </w:rPr>
      </w:pPr>
      <w:r>
        <w:rPr>
          <w:rFonts w:eastAsia="微软雅黑"/>
          <w:sz w:val="20"/>
          <w:szCs w:val="20"/>
          <w:lang w:val="en-GB"/>
        </w:rPr>
        <w:t xml:space="preserve">Besides, in order to emulate a UE, like a pedestrian, outside the train, we additionally drop several UE(s) along with but outside the railway with a 3 km/h. In the last row of Table </w:t>
      </w:r>
      <w:r>
        <w:rPr>
          <w:rFonts w:hint="eastAsia" w:eastAsia="微软雅黑"/>
          <w:sz w:val="20"/>
          <w:szCs w:val="20"/>
          <w:lang w:val="en-US" w:eastAsia="zh-CN"/>
        </w:rPr>
        <w:t>VI</w:t>
      </w:r>
      <w:r>
        <w:rPr>
          <w:rFonts w:eastAsia="微软雅黑"/>
          <w:sz w:val="20"/>
          <w:szCs w:val="20"/>
          <w:lang w:val="en-GB"/>
        </w:rPr>
        <w:t>, it can be observed that this type of UE(s) can be identified with 100% successful detection, and then the legacy beam management rather predictable one should be applied to the UE(s) accordingly.</w:t>
      </w:r>
    </w:p>
    <w:p>
      <w:pPr>
        <w:snapToGrid w:val="0"/>
        <w:spacing w:before="120" w:after="120" w:afterLines="50" w:line="300" w:lineRule="auto"/>
        <w:jc w:val="both"/>
        <w:rPr>
          <w:rFonts w:eastAsia="微软雅黑"/>
          <w:sz w:val="20"/>
          <w:szCs w:val="20"/>
        </w:rPr>
      </w:pPr>
      <w:r>
        <w:rPr>
          <w:rFonts w:eastAsia="微软雅黑"/>
          <w:sz w:val="20"/>
          <w:szCs w:val="20"/>
          <w:lang w:val="en-GB"/>
        </w:rPr>
        <w:t xml:space="preserve">Then, the results of </w:t>
      </w:r>
      <w:r>
        <w:rPr>
          <w:rFonts w:eastAsia="微软雅黑"/>
          <w:sz w:val="20"/>
          <w:szCs w:val="20"/>
        </w:rPr>
        <w:t xml:space="preserve">successful beam detection ratios are provided in Table </w:t>
      </w:r>
      <w:r>
        <w:rPr>
          <w:rFonts w:hint="eastAsia" w:eastAsia="微软雅黑"/>
          <w:sz w:val="20"/>
          <w:szCs w:val="20"/>
          <w:lang w:val="en-US" w:eastAsia="zh-CN"/>
        </w:rPr>
        <w:t>V</w:t>
      </w:r>
      <w:r>
        <w:rPr>
          <w:rFonts w:eastAsia="微软雅黑"/>
          <w:sz w:val="20"/>
          <w:szCs w:val="20"/>
        </w:rPr>
        <w:t>. It can be observed that, the DNN based BM approach can outperform both legacy beam management and traditional geometry-based beam prediction (i.e., non-AI). It should be noticed that, due to the advanced beam indication based on prediction results, the latency of beam indication reduces to 0 ms.</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8: </w:t>
      </w:r>
      <w:r>
        <w:rPr>
          <w:rFonts w:eastAsia="微软雅黑"/>
          <w:i/>
          <w:sz w:val="20"/>
          <w:szCs w:val="20"/>
        </w:rPr>
        <w:t xml:space="preserve">From evaluation results for DNN based approach, it can be observed that </w:t>
      </w:r>
    </w:p>
    <w:p>
      <w:pPr>
        <w:pStyle w:val="99"/>
        <w:numPr>
          <w:ilvl w:val="0"/>
          <w:numId w:val="11"/>
        </w:numPr>
        <w:snapToGrid w:val="0"/>
        <w:spacing w:before="120" w:beforeLines="50" w:after="60" w:afterLines="25" w:line="300" w:lineRule="auto"/>
        <w:ind w:firstLineChars="0"/>
        <w:jc w:val="both"/>
        <w:rPr>
          <w:rFonts w:eastAsia="微软雅黑"/>
          <w:sz w:val="20"/>
          <w:szCs w:val="20"/>
          <w:lang w:val="en-GB"/>
        </w:rPr>
      </w:pPr>
      <w:r>
        <w:rPr>
          <w:rFonts w:eastAsia="微软雅黑"/>
          <w:i/>
          <w:sz w:val="20"/>
          <w:szCs w:val="20"/>
        </w:rPr>
        <w:t>Successful detection for map(s) involving line, curve and exit can be close to 100%, and few cases of false detection only occur in the area where the line and curve rails are close to each other (i.e., corresponding to the same gNB serving beam).</w:t>
      </w:r>
    </w:p>
    <w:p>
      <w:pPr>
        <w:pStyle w:val="99"/>
        <w:numPr>
          <w:ilvl w:val="0"/>
          <w:numId w:val="11"/>
        </w:numPr>
        <w:snapToGrid w:val="0"/>
        <w:spacing w:before="120" w:beforeLines="50" w:after="60" w:afterLines="25" w:line="300" w:lineRule="auto"/>
        <w:ind w:firstLineChars="0"/>
        <w:jc w:val="both"/>
        <w:rPr>
          <w:rFonts w:eastAsia="微软雅黑"/>
          <w:i/>
          <w:sz w:val="20"/>
          <w:szCs w:val="20"/>
        </w:rPr>
      </w:pPr>
      <w:r>
        <w:rPr>
          <w:rFonts w:eastAsia="微软雅黑"/>
          <w:i/>
          <w:sz w:val="20"/>
          <w:szCs w:val="20"/>
        </w:rPr>
        <w:t>Significant gain of successful beam detection ratio, compared with legacy BM approach and traditional geometry-based one, can be achieved regardless of line or curve railways.</w:t>
      </w:r>
    </w:p>
    <w:p>
      <w:pPr>
        <w:overflowPunct w:val="0"/>
        <w:autoSpaceDE w:val="0"/>
        <w:autoSpaceDN w:val="0"/>
        <w:adjustRightInd w:val="0"/>
        <w:snapToGrid w:val="0"/>
        <w:spacing w:before="120" w:beforeLines="50" w:after="120" w:line="300" w:lineRule="auto"/>
        <w:jc w:val="center"/>
        <w:textAlignment w:val="baseline"/>
        <w:rPr>
          <w:sz w:val="20"/>
          <w:szCs w:val="20"/>
        </w:rPr>
      </w:pPr>
      <w:r>
        <w:rPr>
          <w:b/>
          <w:sz w:val="20"/>
          <w:szCs w:val="20"/>
        </w:rPr>
        <w:t xml:space="preserve">Table </w:t>
      </w:r>
      <w:r>
        <w:rPr>
          <w:rFonts w:hint="eastAsia"/>
          <w:b/>
          <w:sz w:val="20"/>
          <w:szCs w:val="20"/>
          <w:lang w:val="en-US" w:eastAsia="zh-CN"/>
        </w:rPr>
        <w:t>VI</w:t>
      </w:r>
      <w:r>
        <w:rPr>
          <w:sz w:val="20"/>
          <w:szCs w:val="20"/>
        </w:rPr>
        <w:t xml:space="preserve"> Successful detection ratio for Map ID using DNN based detection approach</w:t>
      </w:r>
      <w:r>
        <w:rPr>
          <w:rFonts w:eastAsia="微软雅黑"/>
          <w:sz w:val="20"/>
          <w:szCs w:val="20"/>
        </w:rPr>
        <w:t xml:space="preserve"> </w:t>
      </w:r>
    </w:p>
    <w:tbl>
      <w:tblPr>
        <w:tblStyle w:val="24"/>
        <w:tblW w:w="69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93"/>
        <w:gridCol w:w="2405"/>
        <w:gridCol w:w="29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b/>
                <w:bCs/>
                <w:sz w:val="20"/>
                <w:szCs w:val="20"/>
              </w:rPr>
            </w:pPr>
            <w:r>
              <w:rPr>
                <w:b/>
                <w:bCs/>
                <w:sz w:val="20"/>
                <w:szCs w:val="20"/>
              </w:rPr>
              <w:t>Scenario</w:t>
            </w:r>
          </w:p>
        </w:tc>
        <w:tc>
          <w:tcPr>
            <w:tcW w:w="2405" w:type="dxa"/>
            <w:vAlign w:val="center"/>
          </w:tcPr>
          <w:p>
            <w:pPr>
              <w:jc w:val="center"/>
              <w:rPr>
                <w:b/>
                <w:bCs/>
                <w:sz w:val="20"/>
                <w:szCs w:val="20"/>
              </w:rPr>
            </w:pPr>
            <w:r>
              <w:rPr>
                <w:b/>
                <w:bCs/>
                <w:sz w:val="20"/>
                <w:szCs w:val="20"/>
              </w:rPr>
              <w:t>Successful detection ratio for Map ID</w:t>
            </w:r>
          </w:p>
        </w:tc>
        <w:tc>
          <w:tcPr>
            <w:tcW w:w="2943" w:type="dxa"/>
            <w:vAlign w:val="center"/>
          </w:tcPr>
          <w:p>
            <w:pPr>
              <w:jc w:val="center"/>
              <w:rPr>
                <w:b/>
                <w:bCs/>
                <w:sz w:val="20"/>
                <w:szCs w:val="20"/>
              </w:rPr>
            </w:pPr>
            <w:r>
              <w:rPr>
                <w:b/>
                <w:bCs/>
                <w:sz w:val="20"/>
                <w:szCs w:val="20"/>
              </w:rPr>
              <w:t>Without considering the red area, successful detection ratio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Line</w:t>
            </w:r>
          </w:p>
        </w:tc>
        <w:tc>
          <w:tcPr>
            <w:tcW w:w="2405" w:type="dxa"/>
            <w:vAlign w:val="center"/>
          </w:tcPr>
          <w:p>
            <w:pPr>
              <w:jc w:val="center"/>
              <w:rPr>
                <w:sz w:val="20"/>
                <w:szCs w:val="20"/>
              </w:rPr>
            </w:pPr>
            <w:r>
              <w:rPr>
                <w:sz w:val="20"/>
                <w:szCs w:val="20"/>
              </w:rPr>
              <w:t>99.82%</w:t>
            </w:r>
          </w:p>
        </w:tc>
        <w:tc>
          <w:tcPr>
            <w:tcW w:w="2943" w:type="dxa"/>
            <w:vAlign w:val="center"/>
          </w:tcPr>
          <w:p>
            <w:pPr>
              <w:jc w:val="center"/>
              <w:rPr>
                <w:sz w:val="20"/>
                <w:szCs w:val="20"/>
              </w:rPr>
            </w:pPr>
            <w:r>
              <w:rPr>
                <w:sz w:val="20"/>
                <w:szCs w:val="20"/>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Curve</w:t>
            </w:r>
          </w:p>
        </w:tc>
        <w:tc>
          <w:tcPr>
            <w:tcW w:w="2405" w:type="dxa"/>
            <w:vAlign w:val="center"/>
          </w:tcPr>
          <w:p>
            <w:pPr>
              <w:jc w:val="center"/>
              <w:rPr>
                <w:sz w:val="20"/>
                <w:szCs w:val="20"/>
              </w:rPr>
            </w:pPr>
            <w:r>
              <w:rPr>
                <w:sz w:val="20"/>
                <w:szCs w:val="20"/>
              </w:rPr>
              <w:t>99.67%</w:t>
            </w:r>
          </w:p>
        </w:tc>
        <w:tc>
          <w:tcPr>
            <w:tcW w:w="2943" w:type="dxa"/>
            <w:vAlign w:val="center"/>
          </w:tcPr>
          <w:p>
            <w:pPr>
              <w:jc w:val="center"/>
              <w:rPr>
                <w:sz w:val="20"/>
                <w:szCs w:val="20"/>
              </w:rPr>
            </w:pPr>
            <w:r>
              <w:rPr>
                <w:sz w:val="20"/>
                <w:szCs w:val="20"/>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Exit mechanism</w:t>
            </w:r>
          </w:p>
        </w:tc>
        <w:tc>
          <w:tcPr>
            <w:tcW w:w="2405" w:type="dxa"/>
            <w:vAlign w:val="center"/>
          </w:tcPr>
          <w:p>
            <w:pPr>
              <w:jc w:val="center"/>
              <w:rPr>
                <w:sz w:val="20"/>
                <w:szCs w:val="20"/>
              </w:rPr>
            </w:pPr>
            <w:r>
              <w:rPr>
                <w:sz w:val="20"/>
                <w:szCs w:val="20"/>
              </w:rPr>
              <w:t>100%</w:t>
            </w:r>
          </w:p>
        </w:tc>
        <w:tc>
          <w:tcPr>
            <w:tcW w:w="2943" w:type="dxa"/>
            <w:vAlign w:val="center"/>
          </w:tcPr>
          <w:p>
            <w:pPr>
              <w:jc w:val="center"/>
              <w:rPr>
                <w:sz w:val="20"/>
                <w:szCs w:val="20"/>
              </w:rPr>
            </w:pPr>
            <w:r>
              <w:rPr>
                <w:sz w:val="20"/>
                <w:szCs w:val="20"/>
              </w:rPr>
              <w:t>/</w:t>
            </w:r>
          </w:p>
        </w:tc>
      </w:tr>
    </w:tbl>
    <w:p>
      <w:pPr>
        <w:overflowPunct w:val="0"/>
        <w:autoSpaceDE w:val="0"/>
        <w:autoSpaceDN w:val="0"/>
        <w:adjustRightInd w:val="0"/>
        <w:snapToGrid w:val="0"/>
        <w:spacing w:before="120" w:beforeLines="50" w:after="120" w:line="300" w:lineRule="auto"/>
        <w:jc w:val="center"/>
        <w:textAlignment w:val="baseline"/>
        <w:rPr>
          <w:sz w:val="20"/>
          <w:szCs w:val="20"/>
        </w:rPr>
      </w:pPr>
      <w:r>
        <w:rPr>
          <w:b/>
          <w:sz w:val="20"/>
          <w:szCs w:val="20"/>
        </w:rPr>
        <w:t xml:space="preserve">Table </w:t>
      </w:r>
      <w:r>
        <w:rPr>
          <w:rFonts w:hint="eastAsia"/>
          <w:b/>
          <w:sz w:val="20"/>
          <w:szCs w:val="20"/>
          <w:lang w:val="en-US" w:eastAsia="zh-CN"/>
        </w:rPr>
        <w:t>V</w:t>
      </w:r>
      <w:r>
        <w:rPr>
          <w:sz w:val="20"/>
          <w:szCs w:val="20"/>
        </w:rPr>
        <w:t xml:space="preserve"> Successful beam detection ratio compared with optimal beam</w:t>
      </w:r>
      <w:r>
        <w:rPr>
          <w:rFonts w:eastAsia="微软雅黑"/>
          <w:sz w:val="20"/>
          <w:szCs w:val="20"/>
        </w:rPr>
        <w:t xml:space="preserve"> </w:t>
      </w:r>
    </w:p>
    <w:tbl>
      <w:tblPr>
        <w:tblStyle w:val="24"/>
        <w:tblW w:w="88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93"/>
        <w:gridCol w:w="1946"/>
        <w:gridCol w:w="2693"/>
        <w:gridCol w:w="2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b/>
                <w:bCs/>
                <w:sz w:val="20"/>
                <w:szCs w:val="20"/>
              </w:rPr>
            </w:pPr>
            <w:r>
              <w:rPr>
                <w:b/>
                <w:bCs/>
                <w:sz w:val="20"/>
                <w:szCs w:val="20"/>
              </w:rPr>
              <w:t>Scenario</w:t>
            </w:r>
          </w:p>
        </w:tc>
        <w:tc>
          <w:tcPr>
            <w:tcW w:w="1946" w:type="dxa"/>
            <w:vAlign w:val="center"/>
          </w:tcPr>
          <w:p>
            <w:pPr>
              <w:jc w:val="center"/>
              <w:rPr>
                <w:b/>
                <w:bCs/>
                <w:sz w:val="20"/>
                <w:szCs w:val="20"/>
              </w:rPr>
            </w:pPr>
            <w:r>
              <w:rPr>
                <w:b/>
                <w:bCs/>
                <w:sz w:val="20"/>
                <w:szCs w:val="20"/>
              </w:rPr>
              <w:t>Traditional</w:t>
            </w:r>
          </w:p>
        </w:tc>
        <w:tc>
          <w:tcPr>
            <w:tcW w:w="2693" w:type="dxa"/>
            <w:vAlign w:val="center"/>
          </w:tcPr>
          <w:p>
            <w:pPr>
              <w:jc w:val="center"/>
              <w:rPr>
                <w:b/>
                <w:bCs/>
                <w:sz w:val="20"/>
                <w:szCs w:val="20"/>
              </w:rPr>
            </w:pPr>
            <w:r>
              <w:rPr>
                <w:b/>
                <w:bCs/>
                <w:sz w:val="20"/>
                <w:szCs w:val="20"/>
              </w:rPr>
              <w:t>Traditional geometry based predictable method (non-AI)</w:t>
            </w:r>
          </w:p>
        </w:tc>
        <w:tc>
          <w:tcPr>
            <w:tcW w:w="2576" w:type="dxa"/>
          </w:tcPr>
          <w:p>
            <w:pPr>
              <w:jc w:val="center"/>
              <w:rPr>
                <w:b/>
                <w:bCs/>
                <w:sz w:val="20"/>
                <w:szCs w:val="20"/>
              </w:rPr>
            </w:pPr>
            <w:r>
              <w:rPr>
                <w:b/>
                <w:bCs/>
                <w:sz w:val="20"/>
                <w:szCs w:val="20"/>
              </w:rPr>
              <w:t>DNN based predictable method (AI)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Line</w:t>
            </w:r>
          </w:p>
        </w:tc>
        <w:tc>
          <w:tcPr>
            <w:tcW w:w="1946" w:type="dxa"/>
            <w:vAlign w:val="center"/>
          </w:tcPr>
          <w:p>
            <w:pPr>
              <w:jc w:val="center"/>
              <w:rPr>
                <w:sz w:val="20"/>
                <w:szCs w:val="20"/>
              </w:rPr>
            </w:pPr>
            <w:r>
              <w:rPr>
                <w:sz w:val="20"/>
                <w:szCs w:val="20"/>
              </w:rPr>
              <w:t>93.46%</w:t>
            </w:r>
          </w:p>
        </w:tc>
        <w:tc>
          <w:tcPr>
            <w:tcW w:w="2693" w:type="dxa"/>
            <w:vAlign w:val="center"/>
          </w:tcPr>
          <w:p>
            <w:pPr>
              <w:jc w:val="center"/>
              <w:rPr>
                <w:sz w:val="20"/>
                <w:szCs w:val="20"/>
                <w:highlight w:val="yellow"/>
              </w:rPr>
            </w:pPr>
            <w:r>
              <w:rPr>
                <w:sz w:val="20"/>
                <w:szCs w:val="20"/>
              </w:rPr>
              <w:t>93.6%</w:t>
            </w:r>
          </w:p>
        </w:tc>
        <w:tc>
          <w:tcPr>
            <w:tcW w:w="2576" w:type="dxa"/>
            <w:vAlign w:val="center"/>
          </w:tcPr>
          <w:p>
            <w:pPr>
              <w:jc w:val="center"/>
              <w:rPr>
                <w:sz w:val="20"/>
                <w:szCs w:val="20"/>
              </w:rPr>
            </w:pPr>
            <w:r>
              <w:rPr>
                <w:sz w:val="20"/>
                <w:szCs w:val="20"/>
              </w:rPr>
              <w:t>99.2%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Curve</w:t>
            </w:r>
          </w:p>
        </w:tc>
        <w:tc>
          <w:tcPr>
            <w:tcW w:w="1946" w:type="dxa"/>
            <w:vAlign w:val="center"/>
          </w:tcPr>
          <w:p>
            <w:pPr>
              <w:jc w:val="center"/>
              <w:rPr>
                <w:sz w:val="20"/>
                <w:szCs w:val="20"/>
              </w:rPr>
            </w:pPr>
            <w:r>
              <w:rPr>
                <w:sz w:val="20"/>
                <w:szCs w:val="20"/>
              </w:rPr>
              <w:t>93.84%</w:t>
            </w:r>
          </w:p>
        </w:tc>
        <w:tc>
          <w:tcPr>
            <w:tcW w:w="2693" w:type="dxa"/>
            <w:vAlign w:val="center"/>
          </w:tcPr>
          <w:p>
            <w:pPr>
              <w:jc w:val="center"/>
              <w:rPr>
                <w:sz w:val="20"/>
                <w:szCs w:val="20"/>
                <w:highlight w:val="yellow"/>
              </w:rPr>
            </w:pPr>
            <w:r>
              <w:rPr>
                <w:sz w:val="20"/>
                <w:szCs w:val="20"/>
              </w:rPr>
              <w:t>94.37%</w:t>
            </w:r>
          </w:p>
        </w:tc>
        <w:tc>
          <w:tcPr>
            <w:tcW w:w="2576" w:type="dxa"/>
            <w:vAlign w:val="center"/>
          </w:tcPr>
          <w:p>
            <w:pPr>
              <w:jc w:val="center"/>
              <w:rPr>
                <w:sz w:val="20"/>
                <w:szCs w:val="20"/>
              </w:rPr>
            </w:pPr>
            <w:r>
              <w:rPr>
                <w:sz w:val="20"/>
                <w:szCs w:val="20"/>
              </w:rPr>
              <w:t>96.9%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93" w:type="dxa"/>
            <w:vAlign w:val="center"/>
          </w:tcPr>
          <w:p>
            <w:pPr>
              <w:jc w:val="center"/>
              <w:rPr>
                <w:sz w:val="20"/>
                <w:szCs w:val="20"/>
              </w:rPr>
            </w:pPr>
            <w:r>
              <w:rPr>
                <w:sz w:val="20"/>
                <w:szCs w:val="20"/>
              </w:rPr>
              <w:t>Total</w:t>
            </w:r>
          </w:p>
        </w:tc>
        <w:tc>
          <w:tcPr>
            <w:tcW w:w="1946" w:type="dxa"/>
            <w:vAlign w:val="center"/>
          </w:tcPr>
          <w:p>
            <w:pPr>
              <w:jc w:val="center"/>
              <w:rPr>
                <w:sz w:val="20"/>
                <w:szCs w:val="20"/>
              </w:rPr>
            </w:pPr>
            <w:r>
              <w:rPr>
                <w:sz w:val="20"/>
                <w:szCs w:val="20"/>
              </w:rPr>
              <w:t>93.65%</w:t>
            </w:r>
          </w:p>
        </w:tc>
        <w:tc>
          <w:tcPr>
            <w:tcW w:w="2693" w:type="dxa"/>
            <w:vAlign w:val="center"/>
          </w:tcPr>
          <w:p>
            <w:pPr>
              <w:jc w:val="center"/>
              <w:rPr>
                <w:sz w:val="20"/>
                <w:szCs w:val="20"/>
                <w:highlight w:val="yellow"/>
              </w:rPr>
            </w:pPr>
            <w:r>
              <w:rPr>
                <w:sz w:val="20"/>
                <w:szCs w:val="20"/>
              </w:rPr>
              <w:t>93.99%</w:t>
            </w:r>
          </w:p>
        </w:tc>
        <w:tc>
          <w:tcPr>
            <w:tcW w:w="2576" w:type="dxa"/>
            <w:vAlign w:val="center"/>
          </w:tcPr>
          <w:p>
            <w:pPr>
              <w:jc w:val="center"/>
              <w:rPr>
                <w:sz w:val="20"/>
                <w:szCs w:val="20"/>
              </w:rPr>
            </w:pPr>
            <w:r>
              <w:rPr>
                <w:sz w:val="20"/>
                <w:szCs w:val="20"/>
              </w:rPr>
              <w:t>98.06%</w:t>
            </w:r>
          </w:p>
        </w:tc>
      </w:tr>
    </w:tbl>
    <w:p>
      <w:pPr>
        <w:snapToGrid w:val="0"/>
        <w:spacing w:before="120" w:after="120" w:afterLines="50" w:line="300" w:lineRule="auto"/>
        <w:jc w:val="both"/>
        <w:rPr>
          <w:rFonts w:eastAsia="微软雅黑"/>
          <w:sz w:val="20"/>
          <w:szCs w:val="20"/>
          <w:lang w:val="en-GB"/>
        </w:rPr>
      </w:pPr>
      <w:r>
        <w:rPr>
          <w:rFonts w:eastAsia="微软雅黑"/>
          <w:sz w:val="20"/>
          <w:szCs w:val="20"/>
          <w:lang w:val="en-GB"/>
        </w:rPr>
        <w:t xml:space="preserve">The SLS simulation results for HST scenario are provided in Figure </w:t>
      </w:r>
      <w:r>
        <w:rPr>
          <w:rFonts w:hint="eastAsia" w:eastAsia="微软雅黑"/>
          <w:sz w:val="20"/>
          <w:szCs w:val="20"/>
          <w:lang w:val="en-US" w:eastAsia="zh-CN"/>
        </w:rPr>
        <w:t>3-</w:t>
      </w:r>
      <w:r>
        <w:rPr>
          <w:rFonts w:eastAsia="微软雅黑"/>
          <w:sz w:val="20"/>
          <w:szCs w:val="20"/>
          <w:lang w:val="en-GB"/>
        </w:rPr>
        <w:t xml:space="preserve">6. As a result, it can be observed that there is significant performance gain in terms of throughput when introducing predictable BM approach for high mobility. </w:t>
      </w:r>
    </w:p>
    <w:p>
      <w:pPr>
        <w:pStyle w:val="99"/>
        <w:numPr>
          <w:ilvl w:val="0"/>
          <w:numId w:val="11"/>
        </w:numPr>
        <w:snapToGrid w:val="0"/>
        <w:spacing w:before="120" w:after="120" w:afterLines="50" w:line="300" w:lineRule="auto"/>
        <w:ind w:firstLineChars="0"/>
        <w:jc w:val="both"/>
        <w:rPr>
          <w:rFonts w:eastAsia="微软雅黑"/>
          <w:sz w:val="20"/>
          <w:szCs w:val="20"/>
        </w:rPr>
      </w:pPr>
      <w:r>
        <w:rPr>
          <w:rFonts w:eastAsia="微软雅黑"/>
          <w:sz w:val="20"/>
          <w:szCs w:val="20"/>
          <w:lang w:val="en-GB"/>
        </w:rPr>
        <w:t>From the perspective of UPT, there</w:t>
      </w:r>
      <w:r>
        <w:rPr>
          <w:rFonts w:eastAsia="微软雅黑"/>
          <w:sz w:val="20"/>
          <w:szCs w:val="20"/>
        </w:rPr>
        <w:t xml:space="preserve"> is distinct performance gain for predictable BM approach over traditional beam management approach. For instance, in terms of 5%-edge and mean UPT, there is up to 110.9% and 110.7% performance gain due to the saving of huge RS overhead and low latency using the proposed predictable BM approach over traditional one. Also, the predictable BM approach can be close to optimal performance in terms of 5%-edge, 95%-ile and mean UPT.</w:t>
      </w:r>
    </w:p>
    <w:p>
      <w:pPr>
        <w:snapToGrid w:val="0"/>
        <w:spacing w:before="120" w:after="120" w:afterLines="50" w:line="300" w:lineRule="auto"/>
        <w:jc w:val="center"/>
        <w:rPr>
          <w:rFonts w:eastAsia="微软雅黑"/>
          <w:sz w:val="20"/>
          <w:szCs w:val="20"/>
        </w:rPr>
      </w:pPr>
      <w:r>
        <w:rPr>
          <w:sz w:val="20"/>
          <w:szCs w:val="20"/>
        </w:rPr>
        <w:drawing>
          <wp:inline distT="0" distB="0" distL="0" distR="0">
            <wp:extent cx="4150995" cy="2275840"/>
            <wp:effectExtent l="0" t="0" r="1905"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pic:cNvPicPr>
                  </pic:nvPicPr>
                  <pic:blipFill>
                    <a:blip r:embed="rId18"/>
                    <a:stretch>
                      <a:fillRect/>
                    </a:stretch>
                  </pic:blipFill>
                  <pic:spPr>
                    <a:xfrm>
                      <a:off x="0" y="0"/>
                      <a:ext cx="4164602" cy="2283412"/>
                    </a:xfrm>
                    <a:prstGeom prst="rect">
                      <a:avLst/>
                    </a:prstGeom>
                  </pic:spPr>
                </pic:pic>
              </a:graphicData>
            </a:graphic>
          </wp:inline>
        </w:drawing>
      </w:r>
      <w:r>
        <w:rPr>
          <w:sz w:val="20"/>
          <w:szCs w:val="20"/>
        </w:rPr>
        <w:t xml:space="preserve"> </w:t>
      </w:r>
    </w:p>
    <w:p>
      <w:pPr>
        <w:overflowPunct w:val="0"/>
        <w:autoSpaceDE w:val="0"/>
        <w:autoSpaceDN w:val="0"/>
        <w:adjustRightInd w:val="0"/>
        <w:snapToGrid w:val="0"/>
        <w:spacing w:before="120" w:beforeLines="50" w:after="120" w:line="300" w:lineRule="auto"/>
        <w:jc w:val="center"/>
        <w:textAlignment w:val="baseline"/>
        <w:rPr>
          <w:sz w:val="20"/>
          <w:szCs w:val="20"/>
        </w:rPr>
      </w:pPr>
      <w:r>
        <w:rPr>
          <w:b/>
          <w:sz w:val="20"/>
          <w:szCs w:val="20"/>
        </w:rPr>
        <w:t>Figure 3-6</w:t>
      </w:r>
      <w:r>
        <w:rPr>
          <w:sz w:val="20"/>
          <w:szCs w:val="20"/>
        </w:rPr>
        <w:t xml:space="preserve"> SLS results for </w:t>
      </w:r>
      <w:r>
        <w:rPr>
          <w:rFonts w:eastAsia="微软雅黑"/>
          <w:sz w:val="20"/>
          <w:szCs w:val="20"/>
        </w:rPr>
        <w:t>predictable BM based approach and traditional beam management approach in the HST scenario</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9: </w:t>
      </w:r>
      <w:r>
        <w:rPr>
          <w:rFonts w:eastAsia="微软雅黑"/>
          <w:i/>
          <w:sz w:val="20"/>
          <w:szCs w:val="20"/>
        </w:rPr>
        <w:t xml:space="preserve">From SLS evaluation results for FR2 high mobility in a HST scenario, it can be observed that </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Severe throughput degradation for traditional beam management based approach occurs due to very huge RS overhead for beam tracking and large latency in beam indication.</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Introducing predictable BM based approach (e.g., providing real-time Tx-Rx beam pair information based on predictive algorithm without beam tracking) can bring significant performance gain (around 110% UPT gain) over legacy approach in terms of both cell-edge UE UPT and mean UPT.</w:t>
      </w:r>
    </w:p>
    <w:p>
      <w:pPr>
        <w:snapToGrid w:val="0"/>
        <w:spacing w:before="120" w:after="120" w:afterLines="50" w:line="300" w:lineRule="auto"/>
        <w:jc w:val="both"/>
        <w:rPr>
          <w:rFonts w:eastAsia="微软雅黑"/>
          <w:sz w:val="20"/>
          <w:szCs w:val="20"/>
          <w:lang w:val="en-GB"/>
        </w:rPr>
      </w:pPr>
      <w:r>
        <w:rPr>
          <w:rFonts w:eastAsia="微软雅黑"/>
          <w:sz w:val="20"/>
          <w:szCs w:val="20"/>
          <w:lang w:val="en-GB"/>
        </w:rPr>
        <w:t xml:space="preserve">Besides for the recommended predictable based approach, it is straightforward that huge RS overhead can be saved through increasing gNB beam width(s) (i.e., reducing number of candidate gNB beams) with lower antenna configuration. Therefore, we further evaluate the two other low gNB antenna configuration as discussed in Section 2.1: #1 low gNB antenna configuration </w:t>
      </w:r>
      <w:r>
        <w:rPr>
          <w:rFonts w:eastAsia="微软雅黑"/>
          <w:sz w:val="20"/>
          <w:szCs w:val="20"/>
        </w:rPr>
        <w:t>[M, N, P, Mg, Ng] = [2, 2, 2, 2, 2];</w:t>
      </w:r>
      <w:r>
        <w:rPr>
          <w:rFonts w:eastAsia="微软雅黑"/>
          <w:sz w:val="20"/>
          <w:szCs w:val="20"/>
          <w:lang w:val="en-GB"/>
        </w:rPr>
        <w:t xml:space="preserve"> #2 low gNB antenna configuration </w:t>
      </w:r>
      <w:r>
        <w:rPr>
          <w:rFonts w:eastAsia="微软雅黑"/>
          <w:sz w:val="20"/>
          <w:szCs w:val="20"/>
        </w:rPr>
        <w:t xml:space="preserve">[M, N, P, Mg, Ng] = [2, 4, 2, 2, 2]. Due to a larger beam dwelling time as shown in Figure </w:t>
      </w:r>
      <w:r>
        <w:rPr>
          <w:rFonts w:hint="eastAsia" w:eastAsia="微软雅黑"/>
          <w:sz w:val="20"/>
          <w:szCs w:val="20"/>
          <w:lang w:val="en-US" w:eastAsia="zh-CN"/>
        </w:rPr>
        <w:t>2-2</w:t>
      </w:r>
      <w:r>
        <w:rPr>
          <w:rFonts w:eastAsia="微软雅黑"/>
          <w:sz w:val="20"/>
          <w:szCs w:val="20"/>
        </w:rPr>
        <w:t xml:space="preserve">, for #1 and #2 low gNB antenna configuration, the period of beam tracking is set to 40 ms and 20 ms, respectively, and meanwhile the number of SSB decreases to 4 and 8, respectively, from 64 (for legacy gNB configuration [M, N, P, Mg, Ng] = [4, 8, 2, 2, 2]). </w:t>
      </w:r>
      <w:r>
        <w:rPr>
          <w:rFonts w:eastAsia="微软雅黑"/>
          <w:sz w:val="20"/>
          <w:szCs w:val="20"/>
          <w:lang w:val="en-GB"/>
        </w:rPr>
        <w:t xml:space="preserve">The SLS simulation results are shown in Figure 3-7. </w:t>
      </w:r>
    </w:p>
    <w:p>
      <w:pPr>
        <w:pStyle w:val="99"/>
        <w:numPr>
          <w:ilvl w:val="0"/>
          <w:numId w:val="11"/>
        </w:numPr>
        <w:snapToGrid w:val="0"/>
        <w:spacing w:before="120" w:after="120" w:afterLines="50" w:line="300" w:lineRule="auto"/>
        <w:ind w:firstLineChars="0"/>
        <w:jc w:val="both"/>
        <w:rPr>
          <w:rFonts w:eastAsia="微软雅黑"/>
          <w:sz w:val="20"/>
          <w:szCs w:val="20"/>
          <w:lang w:val="en-GB"/>
        </w:rPr>
      </w:pPr>
      <w:r>
        <w:rPr>
          <w:rFonts w:eastAsia="微软雅黑"/>
          <w:sz w:val="20"/>
          <w:szCs w:val="20"/>
          <w:lang w:val="en-GB"/>
        </w:rPr>
        <w:t xml:space="preserve">It can be observed that, there is severe performance degradation for 5%-edge UE (-32.6% and -20.2%) over legacy gNB, although, in terms of mean UPT, there is performance gain due to saving RS overhead for beam tracking through using lower gNB antenna configuration (wider gNB beam). </w:t>
      </w:r>
    </w:p>
    <w:p>
      <w:pPr>
        <w:pStyle w:val="99"/>
        <w:numPr>
          <w:ilvl w:val="0"/>
          <w:numId w:val="11"/>
        </w:numPr>
        <w:snapToGrid w:val="0"/>
        <w:spacing w:before="120" w:after="120" w:afterLines="50" w:line="300" w:lineRule="auto"/>
        <w:ind w:firstLineChars="0"/>
        <w:jc w:val="both"/>
        <w:rPr>
          <w:rFonts w:eastAsia="微软雅黑"/>
          <w:sz w:val="20"/>
          <w:szCs w:val="20"/>
          <w:lang w:val="en-GB"/>
        </w:rPr>
      </w:pPr>
      <w:r>
        <w:rPr>
          <w:rFonts w:eastAsia="微软雅黑"/>
          <w:sz w:val="20"/>
          <w:szCs w:val="20"/>
          <w:lang w:val="en-GB"/>
        </w:rPr>
        <w:t>Besides, regardless of legacy and low-antenna configurations, the predictable beam management based approach can obtain distinct performance gain in terms of both 5%-edge UE and mean UPT, which means that the recommended approach can well achieve a feasible and significant system level gain. For instance, compared with #1 low gNB antenna configuration, the predictable BM based approach obtains up to about +212.8% and +48.2% gain for cell-edge UE UPT and mean UPT, which brings clear benefits for system coverage and well solves UE experience problem(s) in HST.</w:t>
      </w:r>
    </w:p>
    <w:p>
      <w:pPr>
        <w:snapToGrid w:val="0"/>
        <w:spacing w:before="120" w:after="120" w:afterLines="50" w:line="300" w:lineRule="auto"/>
        <w:jc w:val="center"/>
        <w:rPr>
          <w:rFonts w:eastAsia="微软雅黑"/>
          <w:sz w:val="20"/>
          <w:szCs w:val="20"/>
          <w:lang w:val="en-GB"/>
        </w:rPr>
      </w:pPr>
      <w:r>
        <w:rPr>
          <w:sz w:val="20"/>
          <w:szCs w:val="20"/>
        </w:rPr>
        <w:drawing>
          <wp:inline distT="0" distB="0" distL="0" distR="0">
            <wp:extent cx="4679315" cy="2576195"/>
            <wp:effectExtent l="0" t="0" r="6985"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pic:cNvPicPr>
                  </pic:nvPicPr>
                  <pic:blipFill>
                    <a:blip r:embed="rId19"/>
                    <a:stretch>
                      <a:fillRect/>
                    </a:stretch>
                  </pic:blipFill>
                  <pic:spPr>
                    <a:xfrm>
                      <a:off x="0" y="0"/>
                      <a:ext cx="4694186" cy="2584310"/>
                    </a:xfrm>
                    <a:prstGeom prst="rect">
                      <a:avLst/>
                    </a:prstGeom>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sz w:val="20"/>
          <w:szCs w:val="20"/>
        </w:rPr>
      </w:pPr>
      <w:r>
        <w:rPr>
          <w:b/>
          <w:sz w:val="20"/>
          <w:szCs w:val="20"/>
        </w:rPr>
        <w:t>Figure 3-7</w:t>
      </w:r>
      <w:r>
        <w:rPr>
          <w:sz w:val="20"/>
          <w:szCs w:val="20"/>
        </w:rPr>
        <w:t xml:space="preserve"> SLS results for </w:t>
      </w:r>
      <w:r>
        <w:rPr>
          <w:rFonts w:eastAsia="微软雅黑"/>
          <w:sz w:val="20"/>
          <w:szCs w:val="20"/>
        </w:rPr>
        <w:t xml:space="preserve">predictable BM based approach and traditional beam management approach: </w:t>
      </w:r>
      <w:r>
        <w:rPr>
          <w:rFonts w:eastAsia="微软雅黑"/>
          <w:sz w:val="20"/>
          <w:szCs w:val="20"/>
          <w:lang w:val="en-GB"/>
        </w:rPr>
        <w:t xml:space="preserve">#1 low gNB antenna configuration </w:t>
      </w:r>
      <w:r>
        <w:rPr>
          <w:rFonts w:eastAsia="微软雅黑"/>
          <w:sz w:val="20"/>
          <w:szCs w:val="20"/>
        </w:rPr>
        <w:t>[M, N, P, Mg, Ng] = [2, 2, 2, 2, 2];</w:t>
      </w:r>
      <w:r>
        <w:rPr>
          <w:rFonts w:eastAsia="微软雅黑"/>
          <w:sz w:val="20"/>
          <w:szCs w:val="20"/>
          <w:lang w:val="en-GB"/>
        </w:rPr>
        <w:t xml:space="preserve"> #2 low gNB antenna configuration </w:t>
      </w:r>
      <w:r>
        <w:rPr>
          <w:rFonts w:eastAsia="微软雅黑"/>
          <w:sz w:val="20"/>
          <w:szCs w:val="20"/>
        </w:rPr>
        <w:t>[M, N, P, Mg, Ng] = [2, 4, 2, 2, 2]; legacy gNB antenna configuration [M, N, P, Mg, Ng] = [4, 8, 2, 2, 2]</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10: </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Through decreasing gNB antenna configuration (i.e., increase of gNB beam width) for traditional beam management approach, RS overhead for beam tracking can be significantly saved due to decrease of candidate gNB beam(s), but there is severe throughput degradation for cell-edge UE, i.e., poor coverage.</w:t>
      </w:r>
    </w:p>
    <w:p>
      <w:pPr>
        <w:pStyle w:val="113"/>
        <w:numPr>
          <w:ilvl w:val="0"/>
          <w:numId w:val="11"/>
        </w:numPr>
        <w:snapToGrid w:val="0"/>
        <w:spacing w:before="60" w:beforeLines="25" w:after="60" w:afterLines="25" w:line="300" w:lineRule="auto"/>
        <w:ind w:firstLineChars="0"/>
        <w:jc w:val="both"/>
        <w:rPr>
          <w:rFonts w:hint="eastAsia" w:eastAsia="微软雅黑"/>
          <w:sz w:val="20"/>
          <w:szCs w:val="20"/>
        </w:rPr>
      </w:pPr>
      <w:r>
        <w:rPr>
          <w:rFonts w:eastAsia="微软雅黑"/>
          <w:i/>
          <w:sz w:val="20"/>
          <w:szCs w:val="20"/>
        </w:rPr>
        <w:t>Predictable BM based approach can bring feasible system performance and obtain significant gain of both cell-edge and mean UPT, compared with legacy approach regardless of low or legacy gNB antenna configuration.</w:t>
      </w:r>
    </w:p>
    <w:p>
      <w:pPr>
        <w:snapToGrid w:val="0"/>
        <w:spacing w:before="120" w:after="120" w:afterLines="50" w:line="300" w:lineRule="auto"/>
        <w:jc w:val="both"/>
        <w:rPr>
          <w:i/>
          <w:iCs/>
          <w:sz w:val="20"/>
          <w:szCs w:val="20"/>
        </w:rPr>
      </w:pPr>
      <w:r>
        <w:rPr>
          <w:rFonts w:hint="eastAsia"/>
          <w:b/>
          <w:bCs/>
          <w:i/>
          <w:iCs/>
          <w:sz w:val="20"/>
          <w:szCs w:val="20"/>
        </w:rPr>
        <w:t>Proposal 8:</w:t>
      </w:r>
      <w:r>
        <w:rPr>
          <w:i/>
          <w:iCs/>
          <w:sz w:val="20"/>
          <w:szCs w:val="20"/>
        </w:rPr>
        <w:t xml:space="preserve"> Consider predictable mobility for beam management as an enhancement aspect for improving UE experience in FR2 high mobility scenario (e.g., high-speed train and high-way).</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Study and evaluate the feasibility and potential system level gain on predictable mobility for beam management based on the identified scenario(s).</w:t>
      </w:r>
    </w:p>
    <w:p>
      <w:pPr>
        <w:pStyle w:val="113"/>
        <w:snapToGrid w:val="0"/>
        <w:spacing w:before="60" w:beforeLines="25" w:after="60" w:afterLines="25" w:line="300" w:lineRule="auto"/>
        <w:ind w:left="360" w:firstLine="0" w:firstLineChars="0"/>
        <w:jc w:val="both"/>
        <w:rPr>
          <w:rFonts w:eastAsia="微软雅黑"/>
          <w:i/>
          <w:sz w:val="20"/>
          <w:szCs w:val="20"/>
        </w:rPr>
      </w:pP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bookmarkStart w:id="3" w:name="_GoBack"/>
      <w:bookmarkEnd w:id="3"/>
      <w:r>
        <w:rPr>
          <w:b/>
          <w:sz w:val="28"/>
          <w:szCs w:val="28"/>
        </w:rPr>
        <w:t>Conclusion</w:t>
      </w:r>
      <w:r>
        <w:rPr>
          <w:rFonts w:hint="eastAsia"/>
          <w:b/>
          <w:sz w:val="28"/>
          <w:szCs w:val="28"/>
        </w:rPr>
        <w:t>s</w:t>
      </w:r>
    </w:p>
    <w:p>
      <w:pPr>
        <w:spacing w:before="72" w:beforeLines="30" w:after="72" w:afterLines="30" w:line="288" w:lineRule="auto"/>
        <w:jc w:val="both"/>
        <w:rPr>
          <w:rFonts w:eastAsia="Times New Roman"/>
          <w:sz w:val="20"/>
          <w:szCs w:val="20"/>
        </w:rPr>
      </w:pPr>
      <w:r>
        <w:rPr>
          <w:rFonts w:hint="eastAsia" w:eastAsia="Times New Roman"/>
          <w:sz w:val="20"/>
          <w:szCs w:val="20"/>
        </w:rPr>
        <w:t>In this contribution, we discuss the methodology and KPIs for evaluating AI/ML based beam management. We have the following observations and proposals.</w:t>
      </w: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Observations: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1: </w:t>
      </w:r>
      <w:r>
        <w:rPr>
          <w:rFonts w:hint="eastAsia" w:eastAsia="Times New Roman"/>
          <w:i/>
          <w:iCs/>
          <w:sz w:val="20"/>
          <w:szCs w:val="20"/>
        </w:rPr>
        <w:t xml:space="preserve">The traditional brute-force beam search approach exhaustively sweeps all the transmitting and receiving beam pairs in the codebook, which results in excessively resource overhead, measurement power consumption and latency. </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Considering the impact of the software environment and hardware implementation, it is important to discuss the key metrics when comparing the strengths and weaknesses of different AI models.</w:t>
      </w:r>
    </w:p>
    <w:p>
      <w:pPr>
        <w:overflowPunct w:val="0"/>
        <w:autoSpaceDE w:val="0"/>
        <w:autoSpaceDN w:val="0"/>
        <w:adjustRightInd w:val="0"/>
        <w:snapToGrid w:val="0"/>
        <w:spacing w:before="120" w:beforeLines="50" w:after="120" w:line="300" w:lineRule="auto"/>
        <w:jc w:val="both"/>
        <w:textAlignment w:val="baseline"/>
        <w:rPr>
          <w:i/>
          <w:iCs/>
          <w:sz w:val="20"/>
          <w:szCs w:val="20"/>
        </w:rPr>
      </w:pPr>
      <w:r>
        <w:rPr>
          <w:rFonts w:hint="eastAsia"/>
          <w:b/>
          <w:bCs/>
          <w:i/>
          <w:iCs/>
          <w:sz w:val="20"/>
          <w:szCs w:val="20"/>
        </w:rPr>
        <w:t>Observation 3:</w:t>
      </w:r>
      <w:r>
        <w:rPr>
          <w:rFonts w:hint="eastAsia"/>
          <w:i/>
          <w:iCs/>
          <w:sz w:val="20"/>
          <w:szCs w:val="20"/>
        </w:rPr>
        <w:t xml:space="preserve"> For UE mobility, analog beam switching/updating is determined according to beam dwelling time. The beam dwelling time depends on multiple factors including UE speed, distance between gNB and UE and beam-width of the gNB beams.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4:</w:t>
      </w:r>
      <w:r>
        <w:rPr>
          <w:rFonts w:hint="eastAsia" w:eastAsia="Times New Roman"/>
          <w:i/>
          <w:iCs/>
          <w:sz w:val="20"/>
          <w:szCs w:val="20"/>
        </w:rPr>
        <w:t xml:space="preserve"> The latency for beam reporting and beam indication is mainly on activating candidate beams from RRC pool (including 3 ms latency for HARQ-ACK procedure and re-transmission of PUSCH carrying the activation MAC-CE command) and additional latency due to frequency and time tracking, where the latency may vary from 5 ms to 25 ms.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5:</w:t>
      </w:r>
      <w:r>
        <w:rPr>
          <w:rFonts w:hint="eastAsia" w:eastAsia="Times New Roman"/>
          <w:i/>
          <w:iCs/>
          <w:sz w:val="20"/>
          <w:szCs w:val="20"/>
        </w:rPr>
        <w:t xml:space="preserve"> The RS overhead for beam management is a function of periodicity of beam tracking</w:t>
      </w:r>
      <w:r>
        <w:rPr>
          <w:rFonts w:hint="eastAsia"/>
          <w:i/>
          <w:iCs/>
          <w:sz w:val="20"/>
          <w:szCs w:val="20"/>
        </w:rPr>
        <w:t xml:space="preserve">. With the increased UE speed in </w:t>
      </w:r>
      <w:r>
        <w:rPr>
          <w:rFonts w:hint="eastAsia" w:eastAsia="Times New Roman"/>
          <w:i/>
          <w:iCs/>
          <w:sz w:val="20"/>
          <w:szCs w:val="20"/>
        </w:rPr>
        <w:t>high mobility scenarios, RS occupancy for beam tracking will be a huge burden for network.</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6: </w:t>
      </w:r>
      <w:r>
        <w:rPr>
          <w:rFonts w:hint="eastAsia" w:eastAsia="Times New Roman"/>
          <w:i/>
          <w:iCs/>
          <w:sz w:val="20"/>
          <w:szCs w:val="20"/>
        </w:rPr>
        <w:t xml:space="preserve">The AI/ML based spatial-domain beam prediction achieves sufficiently high performance with only 12.5% beam overheads being activated. </w:t>
      </w:r>
    </w:p>
    <w:p>
      <w:pPr>
        <w:spacing w:before="72" w:beforeLines="30" w:after="72" w:afterLines="30" w:line="288" w:lineRule="auto"/>
        <w:jc w:val="both"/>
        <w:rPr>
          <w:sz w:val="20"/>
          <w:szCs w:val="20"/>
        </w:rPr>
      </w:pPr>
      <w:r>
        <w:rPr>
          <w:rFonts w:hint="eastAsia" w:eastAsia="Times New Roman"/>
          <w:b/>
          <w:bCs/>
          <w:i/>
          <w:iCs/>
          <w:sz w:val="20"/>
          <w:szCs w:val="20"/>
        </w:rPr>
        <w:t>Observation 7:</w:t>
      </w:r>
      <w:r>
        <w:rPr>
          <w:rFonts w:hint="eastAsia" w:eastAsia="Times New Roman"/>
          <w:i/>
          <w:iCs/>
          <w:sz w:val="20"/>
          <w:szCs w:val="20"/>
        </w:rPr>
        <w:t xml:space="preserve"> The accuracy of the AI/ML based spatial-domain beam prediction could be further improved by increasing the number of likely predicted beams according to different probabilities of the AI output.</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8: </w:t>
      </w:r>
      <w:r>
        <w:rPr>
          <w:rFonts w:eastAsia="微软雅黑"/>
          <w:i/>
          <w:sz w:val="20"/>
          <w:szCs w:val="20"/>
        </w:rPr>
        <w:t xml:space="preserve">From evaluation results for DNN based approach, it can be observed that </w:t>
      </w:r>
    </w:p>
    <w:p>
      <w:pPr>
        <w:pStyle w:val="99"/>
        <w:numPr>
          <w:ilvl w:val="0"/>
          <w:numId w:val="11"/>
        </w:numPr>
        <w:snapToGrid w:val="0"/>
        <w:spacing w:before="120" w:beforeLines="50" w:after="60" w:afterLines="25" w:line="300" w:lineRule="auto"/>
        <w:ind w:firstLineChars="0"/>
        <w:jc w:val="both"/>
        <w:rPr>
          <w:rFonts w:eastAsia="微软雅黑"/>
          <w:sz w:val="20"/>
          <w:szCs w:val="20"/>
          <w:lang w:val="en-GB"/>
        </w:rPr>
      </w:pPr>
      <w:r>
        <w:rPr>
          <w:rFonts w:eastAsia="微软雅黑"/>
          <w:i/>
          <w:sz w:val="20"/>
          <w:szCs w:val="20"/>
        </w:rPr>
        <w:t>Successful detection for map(s) involving line, curve and exit can be close to 100%, and few cases of false detection only occur in the area where the line and curve rails are close to each other (i.e., corresponding to the same gNB serving beam).</w:t>
      </w:r>
    </w:p>
    <w:p>
      <w:pPr>
        <w:pStyle w:val="99"/>
        <w:numPr>
          <w:ilvl w:val="0"/>
          <w:numId w:val="11"/>
        </w:numPr>
        <w:snapToGrid w:val="0"/>
        <w:spacing w:before="120" w:beforeLines="50" w:after="60" w:afterLines="25" w:line="300" w:lineRule="auto"/>
        <w:ind w:firstLineChars="0"/>
        <w:jc w:val="both"/>
        <w:rPr>
          <w:rFonts w:eastAsia="微软雅黑"/>
          <w:i/>
          <w:sz w:val="20"/>
          <w:szCs w:val="20"/>
        </w:rPr>
      </w:pPr>
      <w:r>
        <w:rPr>
          <w:rFonts w:eastAsia="微软雅黑"/>
          <w:i/>
          <w:sz w:val="20"/>
          <w:szCs w:val="20"/>
        </w:rPr>
        <w:t>Significant gain of successful beam detection ratio, compared with legacy BM approach and traditional geometry-based one, can be achieved regardless of line or curve railways.</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9: </w:t>
      </w:r>
      <w:r>
        <w:rPr>
          <w:rFonts w:eastAsia="微软雅黑"/>
          <w:i/>
          <w:sz w:val="20"/>
          <w:szCs w:val="20"/>
        </w:rPr>
        <w:t xml:space="preserve">From SLS evaluation results for FR2 high mobility in a HST scenario, it can be observed that </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Severe throughput degradation for traditional beam management based approach occurs due to very huge RS overhead for beam tracking and large latency in beam indication.</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Introducing predictable BM based approach (e.g., providing real-time Tx-Rx beam pair information based on predictive algorithm without beam tracking) can bring significant performance gain (around 110% UPT gain) over legacy approach in terms of both cell-edge UE UPT and mean UPT.</w:t>
      </w:r>
    </w:p>
    <w:p>
      <w:pPr>
        <w:snapToGrid w:val="0"/>
        <w:spacing w:before="120" w:beforeLines="50" w:after="60" w:afterLines="25" w:line="300" w:lineRule="auto"/>
        <w:jc w:val="both"/>
        <w:rPr>
          <w:rFonts w:eastAsia="微软雅黑"/>
          <w:i/>
          <w:sz w:val="20"/>
          <w:szCs w:val="20"/>
        </w:rPr>
      </w:pPr>
      <w:r>
        <w:rPr>
          <w:b/>
          <w:bCs/>
          <w:i/>
          <w:iCs/>
          <w:sz w:val="20"/>
          <w:szCs w:val="20"/>
        </w:rPr>
        <w:t xml:space="preserve">Observation 10: </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Through decreasing gNB antenna configuration (i.e., increase of gNB beam width) for traditional beam management approach, RS overhead for beam tracking can be significantly saved due to decrease of candidate gNB beam(s), but there is severe throughput degradation for cell-edge UE, i.e., poor coverage.</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Predictable BM based approach can bring feasible system performance and obtain significant gain of both cell-edge and mean UPT, compared with legacy approach regardless of low or legacy gNB antenna configuration.</w:t>
      </w:r>
    </w:p>
    <w:p>
      <w:pPr>
        <w:spacing w:before="72" w:beforeLines="30" w:after="72" w:afterLines="30" w:line="288" w:lineRule="auto"/>
        <w:jc w:val="both"/>
        <w:rPr>
          <w:rFonts w:eastAsia="Times New Roman"/>
          <w:i/>
          <w:iCs/>
          <w:sz w:val="20"/>
          <w:szCs w:val="20"/>
        </w:rPr>
      </w:pP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Proposals: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1:</w:t>
      </w:r>
      <w:r>
        <w:rPr>
          <w:rFonts w:hint="eastAsia" w:eastAsia="Times New Roman"/>
          <w:i/>
          <w:iCs/>
          <w:sz w:val="20"/>
          <w:szCs w:val="20"/>
        </w:rPr>
        <w:t xml:space="preserve"> Due to stronger computing power and comprehensive awareness of the surrounding environment, AI inference is performed on the gNB side to ensure high prediction accuracy and low processing delay.</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2: </w:t>
      </w:r>
      <w:r>
        <w:rPr>
          <w:rFonts w:hint="eastAsia" w:eastAsia="Times New Roman"/>
          <w:i/>
          <w:iCs/>
          <w:sz w:val="20"/>
          <w:szCs w:val="20"/>
        </w:rPr>
        <w:t xml:space="preserve">Top-K candidate beams with </w:t>
      </w:r>
      <w:r>
        <w:rPr>
          <w:rFonts w:hint="eastAsia"/>
          <w:i/>
          <w:iCs/>
          <w:sz w:val="20"/>
          <w:szCs w:val="20"/>
          <w:lang w:val="en-US" w:eastAsia="zh-CN"/>
        </w:rPr>
        <w:t>higher</w:t>
      </w:r>
      <w:r>
        <w:rPr>
          <w:rFonts w:hint="eastAsia" w:eastAsia="Times New Roman"/>
          <w:i/>
          <w:iCs/>
          <w:sz w:val="20"/>
          <w:szCs w:val="20"/>
        </w:rPr>
        <w:t xml:space="preserve"> predicted RSRP can be filtered out for refined small-range beam sweeping, resulting in a relatively good trade-off between training overhead and performance.</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3: </w:t>
      </w:r>
      <w:r>
        <w:rPr>
          <w:rFonts w:hint="eastAsia" w:eastAsia="Times New Roman"/>
          <w:i/>
          <w:iCs/>
          <w:sz w:val="20"/>
          <w:szCs w:val="20"/>
        </w:rPr>
        <w:t>Deep neutral network is exploited for the spatial-domain beam prediction due to its excellent ability on classification tasks and learning complex nonlinear relationships.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4:</w:t>
      </w:r>
      <w:r>
        <w:rPr>
          <w:rFonts w:hint="eastAsia" w:eastAsia="Times New Roman"/>
          <w:i/>
          <w:iCs/>
          <w:sz w:val="20"/>
          <w:szCs w:val="20"/>
        </w:rPr>
        <w:t xml:space="preserve"> AI/ML based spatial-domain beam prediction can significantly reduce the beam training overhead by avoiding exhaustive beam sweeping.</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5:</w:t>
      </w:r>
      <w:r>
        <w:rPr>
          <w:rFonts w:hint="eastAsia" w:eastAsia="Times New Roman"/>
          <w:i/>
          <w:iCs/>
          <w:sz w:val="20"/>
          <w:szCs w:val="20"/>
        </w:rPr>
        <w:t xml:space="preserve"> Beam prediction accuracy can be used as the performance indicators at the early stage, which may include top-1/top-K beam prediction accuracy, average RSRP difference, and CDFs of RSRP difference between the AI-predicted beam and ideal beam.</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6: </w:t>
      </w:r>
      <w:r>
        <w:rPr>
          <w:rFonts w:hint="eastAsia" w:eastAsia="Times New Roman"/>
          <w:i/>
          <w:iCs/>
          <w:sz w:val="20"/>
          <w:szCs w:val="20"/>
        </w:rPr>
        <w:t>Since the data sets and AI models used by different companies are different, it is necessary to provide common data sets and baseline models for simulation calibration and performance cross-validation.</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7: </w:t>
      </w:r>
      <w:r>
        <w:rPr>
          <w:rFonts w:hint="eastAsia" w:eastAsia="Times New Roman"/>
          <w:i/>
          <w:iCs/>
          <w:sz w:val="20"/>
          <w:szCs w:val="20"/>
        </w:rPr>
        <w:t>AI/ML based solutions are expected to be studied and evaluated to do beam prediction so as to reduce beam tracking latency and RS overhead in high mobility scenarios.</w:t>
      </w:r>
    </w:p>
    <w:p>
      <w:pPr>
        <w:snapToGrid w:val="0"/>
        <w:spacing w:before="120" w:after="120" w:afterLines="50" w:line="300" w:lineRule="auto"/>
        <w:jc w:val="both"/>
        <w:rPr>
          <w:i/>
          <w:iCs/>
          <w:sz w:val="20"/>
          <w:szCs w:val="20"/>
        </w:rPr>
      </w:pPr>
      <w:r>
        <w:rPr>
          <w:rFonts w:hint="eastAsia"/>
          <w:b/>
          <w:bCs/>
          <w:i/>
          <w:iCs/>
          <w:sz w:val="20"/>
          <w:szCs w:val="20"/>
        </w:rPr>
        <w:t>Proposal 8:</w:t>
      </w:r>
      <w:r>
        <w:rPr>
          <w:i/>
          <w:iCs/>
          <w:sz w:val="20"/>
          <w:szCs w:val="20"/>
        </w:rPr>
        <w:t xml:space="preserve"> Consider predictable mobility for beam management as an enhancement aspect for improving UE experience in FR2 high mobility scenario (e.g., high-speed train and high-way).</w:t>
      </w:r>
    </w:p>
    <w:p>
      <w:pPr>
        <w:pStyle w:val="113"/>
        <w:numPr>
          <w:ilvl w:val="0"/>
          <w:numId w:val="11"/>
        </w:numPr>
        <w:snapToGrid w:val="0"/>
        <w:spacing w:before="60" w:beforeLines="25" w:after="60" w:afterLines="25" w:line="300" w:lineRule="auto"/>
        <w:ind w:firstLineChars="0"/>
        <w:jc w:val="both"/>
        <w:rPr>
          <w:rFonts w:eastAsia="微软雅黑"/>
          <w:i/>
          <w:sz w:val="20"/>
          <w:szCs w:val="20"/>
        </w:rPr>
      </w:pPr>
      <w:r>
        <w:rPr>
          <w:rFonts w:eastAsia="微软雅黑"/>
          <w:i/>
          <w:sz w:val="20"/>
          <w:szCs w:val="20"/>
        </w:rPr>
        <w:t>Study and evaluate the feasibility and potential system level gain on predictable mobility for beam management based on the identified scenario(s).</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References</w:t>
      </w:r>
    </w:p>
    <w:p>
      <w:pPr>
        <w:numPr>
          <w:ilvl w:val="0"/>
          <w:numId w:val="12"/>
        </w:numPr>
        <w:spacing w:before="72" w:beforeLines="30" w:after="72" w:afterLines="30" w:line="288" w:lineRule="auto"/>
        <w:jc w:val="both"/>
        <w:rPr>
          <w:rFonts w:eastAsia="Times New Roman"/>
          <w:sz w:val="20"/>
          <w:szCs w:val="20"/>
        </w:rPr>
      </w:pPr>
      <w:r>
        <w:rPr>
          <w:rFonts w:hint="eastAsia" w:eastAsia="Times New Roman"/>
          <w:sz w:val="20"/>
          <w:szCs w:val="20"/>
        </w:rPr>
        <w:t>RP-213599, New SID: Study on Artificial Intelligence (AI)/Machine Learning (ML) for NR Air Interface, Qualcomm</w:t>
      </w:r>
    </w:p>
    <w:p>
      <w:pPr>
        <w:pStyle w:val="73"/>
        <w:snapToGrid w:val="0"/>
        <w:spacing w:before="72" w:beforeLines="30" w:after="72" w:afterLines="30" w:line="288" w:lineRule="auto"/>
        <w:jc w:val="both"/>
        <w:rPr>
          <w:bCs/>
          <w:sz w:val="20"/>
          <w:szCs w:val="20"/>
        </w:rPr>
      </w:pPr>
      <w:r>
        <w:rPr>
          <w:rFonts w:hint="eastAsia"/>
          <w:bCs/>
          <w:sz w:val="20"/>
          <w:szCs w:val="20"/>
        </w:rPr>
        <w:t>[</w:t>
      </w:r>
      <w:r>
        <w:rPr>
          <w:bCs/>
          <w:sz w:val="20"/>
          <w:szCs w:val="20"/>
        </w:rPr>
        <w:t>2] TB 10621-2014, Code for design of high speed railway, China</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Appendix</w:t>
      </w:r>
    </w:p>
    <w:p>
      <w:pPr>
        <w:spacing w:before="72" w:beforeLines="30" w:after="72" w:afterLines="30" w:line="288" w:lineRule="auto"/>
        <w:jc w:val="center"/>
        <w:rPr>
          <w:rFonts w:eastAsia="Times New Roman"/>
          <w:sz w:val="20"/>
          <w:szCs w:val="20"/>
        </w:rPr>
      </w:pPr>
      <w:r>
        <w:rPr>
          <w:rFonts w:hint="eastAsia" w:eastAsia="Times New Roman"/>
          <w:sz w:val="20"/>
          <w:szCs w:val="20"/>
        </w:rPr>
        <w:t>Table I: SLS assumptions for AI/ML based beam management</w:t>
      </w:r>
    </w:p>
    <w:tbl>
      <w:tblPr>
        <w:tblStyle w:val="23"/>
        <w:tblW w:w="5000" w:type="pct"/>
        <w:tblCellSpacing w:w="0" w:type="dxa"/>
        <w:tblInd w:w="0" w:type="dxa"/>
        <w:tblLayout w:type="fixed"/>
        <w:tblCellMar>
          <w:top w:w="0" w:type="dxa"/>
          <w:left w:w="0" w:type="dxa"/>
          <w:bottom w:w="0" w:type="dxa"/>
          <w:right w:w="0" w:type="dxa"/>
        </w:tblCellMar>
      </w:tblPr>
      <w:tblGrid>
        <w:gridCol w:w="3493"/>
        <w:gridCol w:w="6103"/>
      </w:tblGrid>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6A6A6"/>
            <w:tcMar>
              <w:left w:w="108" w:type="dxa"/>
              <w:right w:w="108" w:type="dxa"/>
            </w:tcMar>
          </w:tcPr>
          <w:p>
            <w:pPr>
              <w:pStyle w:val="21"/>
              <w:rPr>
                <w:rFonts w:ascii="Times New Roman" w:hAnsi="Times New Roman" w:cs="Times New Roman"/>
                <w:sz w:val="20"/>
                <w:szCs w:val="20"/>
              </w:rPr>
            </w:pPr>
            <w:r>
              <w:rPr>
                <w:rFonts w:ascii="Times New Roman" w:hAnsi="Times New Roman" w:cs="Times New Roman"/>
                <w:b/>
                <w:bCs/>
                <w:color w:val="000000"/>
                <w:sz w:val="20"/>
                <w:szCs w:val="20"/>
              </w:rPr>
              <w:t>Parameters</w:t>
            </w:r>
          </w:p>
        </w:tc>
        <w:tc>
          <w:tcPr>
            <w:tcW w:w="3179" w:type="pct"/>
            <w:tcBorders>
              <w:top w:val="single" w:color="080000" w:sz="4" w:space="0"/>
              <w:left w:val="single" w:color="080000" w:sz="4" w:space="0"/>
              <w:bottom w:val="single" w:color="080000" w:sz="4" w:space="0"/>
              <w:right w:val="single" w:color="080000" w:sz="4" w:space="0"/>
            </w:tcBorders>
            <w:shd w:val="clear" w:color="auto" w:fill="A6A6A6"/>
            <w:tcMar>
              <w:left w:w="108" w:type="dxa"/>
              <w:right w:w="108" w:type="dxa"/>
            </w:tcMar>
          </w:tcPr>
          <w:p>
            <w:pPr>
              <w:pStyle w:val="21"/>
              <w:rPr>
                <w:rFonts w:ascii="Times New Roman" w:hAnsi="Times New Roman" w:cs="Times New Roman"/>
                <w:sz w:val="20"/>
                <w:szCs w:val="20"/>
              </w:rPr>
            </w:pPr>
            <w:r>
              <w:rPr>
                <w:rFonts w:ascii="Times New Roman" w:hAnsi="Times New Roman" w:cs="Times New Roman"/>
                <w:b/>
                <w:bCs/>
                <w:color w:val="000000"/>
                <w:sz w:val="20"/>
                <w:szCs w:val="20"/>
              </w:rPr>
              <w:t>Values</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Carrier Frequency</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30 GHz</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Scenario</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UMI LOS /NLOS</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System BW</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hint="eastAsia" w:ascii="Times New Roman" w:hAnsi="Times New Roman" w:cs="Times New Roman"/>
                <w:sz w:val="20"/>
                <w:szCs w:val="20"/>
              </w:rPr>
              <w:t>20MHz</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BS and RRH Tx Power</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4</w:t>
            </w:r>
            <w:r>
              <w:rPr>
                <w:rFonts w:hint="eastAsia" w:ascii="Times New Roman" w:hAnsi="Times New Roman" w:cs="Times New Roman"/>
                <w:color w:val="000000"/>
                <w:sz w:val="20"/>
                <w:szCs w:val="20"/>
              </w:rPr>
              <w:t>3</w:t>
            </w:r>
            <w:r>
              <w:rPr>
                <w:rFonts w:ascii="Times New Roman" w:hAnsi="Times New Roman" w:cs="Times New Roman"/>
                <w:color w:val="000000"/>
                <w:sz w:val="20"/>
                <w:szCs w:val="20"/>
              </w:rPr>
              <w:t> dBm</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Maximum UE Tx Power</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21 dBm</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BS receiver Noise Figure</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7 dB</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UE receiver Noise Figure</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00000"/>
                <w:sz w:val="20"/>
                <w:szCs w:val="20"/>
              </w:rPr>
              <w:t>13 dB</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Inter site distance</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200m</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BS Antenna height</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10m</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UE Antenna height</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1.5 m</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cs="Times New Roman"/>
                <w:color w:val="000000" w:themeColor="text1"/>
                <w:sz w:val="20"/>
                <w:szCs w:val="20"/>
                <w14:textFill>
                  <w14:solidFill>
                    <w14:schemeClr w14:val="tx1"/>
                  </w14:solidFill>
                </w14:textFill>
              </w:rPr>
              <w:t>O2I pe</w:t>
            </w:r>
            <w:r>
              <w:rPr>
                <w:rFonts w:ascii="Times New Roman" w:hAnsi="Times New Roman" w:cs="Times New Roman"/>
                <w:color w:val="000000" w:themeColor="text1"/>
                <w:sz w:val="20"/>
                <w:szCs w:val="20"/>
                <w14:textFill>
                  <w14:solidFill>
                    <w14:schemeClr w14:val="tx1"/>
                  </w14:solidFill>
                </w14:textFill>
              </w:rPr>
              <w:t>netration Loss</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cs="Times New Roman"/>
                <w:color w:val="000000" w:themeColor="text1"/>
                <w:sz w:val="20"/>
                <w:szCs w:val="20"/>
                <w14:textFill>
                  <w14:solidFill>
                    <w14:schemeClr w14:val="tx1"/>
                  </w14:solidFill>
                </w14:textFill>
              </w:rPr>
              <w:t xml:space="preserve">TR </w:t>
            </w:r>
            <w:r>
              <w:rPr>
                <w:rFonts w:ascii="Times New Roman" w:hAnsi="Times New Roman" w:cs="Times New Roman"/>
                <w:color w:val="000000" w:themeColor="text1"/>
                <w:sz w:val="20"/>
                <w:szCs w:val="20"/>
                <w14:textFill>
                  <w14:solidFill>
                    <w14:schemeClr w14:val="tx1"/>
                  </w14:solidFill>
                </w14:textFill>
              </w:rPr>
              <w:t>38.901, sec 7.4.3.2: μ = 9 dB, σp = 5 dB</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UE distribution</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Uniformly distributed in 21 cells</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Antenna configuration at BS</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(M, N, P, M</w:t>
            </w:r>
            <w:r>
              <w:rPr>
                <w:rFonts w:ascii="Times New Roman" w:hAnsi="Times New Roman" w:cs="Times New Roman"/>
                <w:color w:val="0D0D0D"/>
                <w:sz w:val="20"/>
                <w:szCs w:val="20"/>
                <w:vertAlign w:val="subscript"/>
              </w:rPr>
              <w:t>g</w:t>
            </w:r>
            <w:r>
              <w:rPr>
                <w:rFonts w:ascii="Times New Roman" w:hAnsi="Times New Roman" w:cs="Times New Roman"/>
                <w:color w:val="0D0D0D"/>
                <w:sz w:val="20"/>
                <w:szCs w:val="20"/>
              </w:rPr>
              <w:t>, N</w:t>
            </w:r>
            <w:r>
              <w:rPr>
                <w:rFonts w:ascii="Times New Roman" w:hAnsi="Times New Roman" w:cs="Times New Roman"/>
                <w:color w:val="0D0D0D"/>
                <w:sz w:val="20"/>
                <w:szCs w:val="20"/>
                <w:vertAlign w:val="subscript"/>
              </w:rPr>
              <w:t>g</w:t>
            </w:r>
            <w:r>
              <w:rPr>
                <w:rFonts w:ascii="Times New Roman" w:hAnsi="Times New Roman" w:cs="Times New Roman"/>
                <w:color w:val="0D0D0D"/>
                <w:sz w:val="20"/>
                <w:szCs w:val="20"/>
              </w:rPr>
              <w:t>) = (4, 8, 2, 2, 2). (d</w:t>
            </w:r>
            <w:r>
              <w:rPr>
                <w:rFonts w:ascii="Times New Roman" w:hAnsi="Times New Roman" w:cs="Times New Roman"/>
                <w:color w:val="0D0D0D"/>
                <w:sz w:val="20"/>
                <w:szCs w:val="20"/>
                <w:vertAlign w:val="subscript"/>
              </w:rPr>
              <w:t>V</w:t>
            </w:r>
            <w:r>
              <w:rPr>
                <w:rFonts w:ascii="Times New Roman" w:hAnsi="Times New Roman" w:cs="Times New Roman"/>
                <w:color w:val="0D0D0D"/>
                <w:sz w:val="20"/>
                <w:szCs w:val="20"/>
              </w:rPr>
              <w:t>, d</w:t>
            </w:r>
            <w:r>
              <w:rPr>
                <w:rFonts w:ascii="Times New Roman" w:hAnsi="Times New Roman" w:cs="Times New Roman"/>
                <w:color w:val="0D0D0D"/>
                <w:sz w:val="20"/>
                <w:szCs w:val="20"/>
                <w:vertAlign w:val="subscript"/>
              </w:rPr>
              <w:t>H</w:t>
            </w:r>
            <w:r>
              <w:rPr>
                <w:rFonts w:ascii="Times New Roman" w:hAnsi="Times New Roman" w:cs="Times New Roman"/>
                <w:color w:val="0D0D0D"/>
                <w:sz w:val="20"/>
                <w:szCs w:val="20"/>
              </w:rPr>
              <w:t>) = (0.5, 0.5) λ. (d</w:t>
            </w:r>
            <w:r>
              <w:rPr>
                <w:rFonts w:ascii="Times New Roman" w:hAnsi="Times New Roman" w:cs="Times New Roman"/>
                <w:color w:val="0D0D0D"/>
                <w:sz w:val="20"/>
                <w:szCs w:val="20"/>
                <w:vertAlign w:val="subscript"/>
              </w:rPr>
              <w:t>g,V</w:t>
            </w:r>
            <w:r>
              <w:rPr>
                <w:rFonts w:ascii="Times New Roman" w:hAnsi="Times New Roman" w:cs="Times New Roman"/>
                <w:color w:val="0D0D0D"/>
                <w:sz w:val="20"/>
                <w:szCs w:val="20"/>
              </w:rPr>
              <w:t>, d</w:t>
            </w:r>
            <w:r>
              <w:rPr>
                <w:rFonts w:ascii="Times New Roman" w:hAnsi="Times New Roman" w:cs="Times New Roman"/>
                <w:color w:val="0D0D0D"/>
                <w:sz w:val="20"/>
                <w:szCs w:val="20"/>
                <w:vertAlign w:val="subscript"/>
              </w:rPr>
              <w:t>g,H</w:t>
            </w:r>
            <w:r>
              <w:rPr>
                <w:rFonts w:ascii="Times New Roman" w:hAnsi="Times New Roman" w:cs="Times New Roman"/>
                <w:color w:val="0D0D0D"/>
                <w:sz w:val="20"/>
                <w:szCs w:val="20"/>
              </w:rPr>
              <w:t>) = (2.0, 4.0) λ</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color w:val="0D0D0D"/>
                <w:sz w:val="20"/>
                <w:szCs w:val="20"/>
              </w:rPr>
            </w:pPr>
            <w:r>
              <w:rPr>
                <w:rFonts w:ascii="Times New Roman" w:hAnsi="Times New Roman" w:cs="Times New Roman"/>
                <w:color w:val="0D0D0D"/>
                <w:sz w:val="20"/>
                <w:szCs w:val="20"/>
              </w:rPr>
              <w:t xml:space="preserve">Antenna configuration at UE </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color w:val="0D0D0D"/>
                <w:sz w:val="20"/>
                <w:szCs w:val="20"/>
              </w:rPr>
            </w:pPr>
            <w:r>
              <w:rPr>
                <w:rFonts w:ascii="Times New Roman" w:hAnsi="Times New Roman" w:cs="Times New Roman"/>
                <w:color w:val="0D0D0D"/>
                <w:sz w:val="20"/>
                <w:szCs w:val="20"/>
              </w:rPr>
              <w:t>(M, N, P, Mg, Ng) = (2, 4, 2, 1, 2). (dV, dH) = (0.5, 0.5) λ. (dg,V, dg,H) = (1.0, 2.0) λ</w:t>
            </w:r>
          </w:p>
        </w:tc>
      </w:tr>
      <w:tr>
        <w:tblPrEx>
          <w:tblCellMar>
            <w:top w:w="0" w:type="dxa"/>
            <w:left w:w="0" w:type="dxa"/>
            <w:bottom w:w="0" w:type="dxa"/>
            <w:right w:w="0" w:type="dxa"/>
          </w:tblCellMar>
        </w:tblPrEx>
        <w:trPr>
          <w:trHeight w:val="220" w:hRule="atLeast"/>
          <w:tblCellSpacing w:w="0" w:type="dxa"/>
        </w:trPr>
        <w:tc>
          <w:tcPr>
            <w:tcW w:w="1820"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UE Antenna radiation pattern</w:t>
            </w:r>
          </w:p>
        </w:tc>
        <w:tc>
          <w:tcPr>
            <w:tcW w:w="31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tcPr>
          <w:p>
            <w:pPr>
              <w:pStyle w:val="21"/>
              <w:rPr>
                <w:rFonts w:ascii="Times New Roman" w:hAnsi="Times New Roman" w:cs="Times New Roman"/>
                <w:sz w:val="20"/>
                <w:szCs w:val="20"/>
              </w:rPr>
            </w:pPr>
            <w:r>
              <w:rPr>
                <w:rFonts w:ascii="Times New Roman" w:hAnsi="Times New Roman" w:cs="Times New Roman"/>
                <w:color w:val="0D0D0D"/>
                <w:sz w:val="20"/>
                <w:szCs w:val="20"/>
              </w:rPr>
              <w:t>TR 38.802 Table A.2.1-8, Table A.2.1-10</w:t>
            </w:r>
          </w:p>
        </w:tc>
      </w:tr>
    </w:tbl>
    <w:p>
      <w:pPr>
        <w:pStyle w:val="73"/>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FA3B991"/>
    <w:multiLevelType w:val="singleLevel"/>
    <w:tmpl w:val="CFA3B991"/>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7F0E71"/>
    <w:multiLevelType w:val="multilevel"/>
    <w:tmpl w:val="1B7F0E71"/>
    <w:lvl w:ilvl="0" w:tentative="0">
      <w:start w:val="1"/>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337CBC0D"/>
    <w:multiLevelType w:val="singleLevel"/>
    <w:tmpl w:val="337CBC0D"/>
    <w:lvl w:ilvl="0" w:tentative="0">
      <w:start w:val="1"/>
      <w:numFmt w:val="decimal"/>
      <w:lvlText w:val="%1)"/>
      <w:lvlJc w:val="left"/>
      <w:pPr>
        <w:ind w:left="425" w:hanging="425"/>
      </w:pPr>
      <w:rPr>
        <w:rFonts w:hint="default"/>
      </w:rPr>
    </w:lvl>
  </w:abstractNum>
  <w:abstractNum w:abstractNumId="7">
    <w:nsid w:val="4B140ED7"/>
    <w:multiLevelType w:val="multilevel"/>
    <w:tmpl w:val="4B140ED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lowerLetter"/>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FCD745D"/>
    <w:multiLevelType w:val="multilevel"/>
    <w:tmpl w:val="5FCD745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B3A6570"/>
    <w:multiLevelType w:val="multilevel"/>
    <w:tmpl w:val="6B3A6570"/>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1"/>
  </w:num>
  <w:num w:numId="4">
    <w:abstractNumId w:val="3"/>
  </w:num>
  <w:num w:numId="5">
    <w:abstractNumId w:val="5"/>
  </w:num>
  <w:num w:numId="6">
    <w:abstractNumId w:val="8"/>
  </w:num>
  <w:num w:numId="7">
    <w:abstractNumId w:val="9"/>
  </w:num>
  <w:num w:numId="8">
    <w:abstractNumId w:val="4"/>
  </w:num>
  <w:num w:numId="9">
    <w:abstractNumId w:val="10"/>
  </w:num>
  <w:num w:numId="10">
    <w:abstractNumId w:val="6"/>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BE5"/>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8"/>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0B8D"/>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181"/>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30B"/>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8B"/>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7D5980"/>
    <w:rsid w:val="02B34E07"/>
    <w:rsid w:val="02E818F1"/>
    <w:rsid w:val="030F5EB8"/>
    <w:rsid w:val="031B3D3A"/>
    <w:rsid w:val="03300F14"/>
    <w:rsid w:val="03382F46"/>
    <w:rsid w:val="033951A7"/>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42C8A"/>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36C"/>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46AF7"/>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CB264C"/>
    <w:rsid w:val="18E87E12"/>
    <w:rsid w:val="18F5052C"/>
    <w:rsid w:val="191D14D9"/>
    <w:rsid w:val="19693EEF"/>
    <w:rsid w:val="196B5F41"/>
    <w:rsid w:val="19D1732F"/>
    <w:rsid w:val="1A200A74"/>
    <w:rsid w:val="1A2F2398"/>
    <w:rsid w:val="1A3055B8"/>
    <w:rsid w:val="1A5655AF"/>
    <w:rsid w:val="1A6B5CD7"/>
    <w:rsid w:val="1A744837"/>
    <w:rsid w:val="1A9B675D"/>
    <w:rsid w:val="1ADE3E70"/>
    <w:rsid w:val="1AE42348"/>
    <w:rsid w:val="1AF2383D"/>
    <w:rsid w:val="1B0C4873"/>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C2A27"/>
    <w:rsid w:val="1CB701AA"/>
    <w:rsid w:val="1CCA0F66"/>
    <w:rsid w:val="1CDE446D"/>
    <w:rsid w:val="1CE20210"/>
    <w:rsid w:val="1D3074C2"/>
    <w:rsid w:val="1D464FEE"/>
    <w:rsid w:val="1D4F2E42"/>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4773C4"/>
    <w:rsid w:val="1F5E0D38"/>
    <w:rsid w:val="1F5F4414"/>
    <w:rsid w:val="1F7D1511"/>
    <w:rsid w:val="1F826970"/>
    <w:rsid w:val="1F972A67"/>
    <w:rsid w:val="1FA317AB"/>
    <w:rsid w:val="1FCB673D"/>
    <w:rsid w:val="1FEE648E"/>
    <w:rsid w:val="1FF433BA"/>
    <w:rsid w:val="1FF9202F"/>
    <w:rsid w:val="20003026"/>
    <w:rsid w:val="200F3B23"/>
    <w:rsid w:val="201967D7"/>
    <w:rsid w:val="20374786"/>
    <w:rsid w:val="2039386F"/>
    <w:rsid w:val="204C7801"/>
    <w:rsid w:val="20601C10"/>
    <w:rsid w:val="20757C7B"/>
    <w:rsid w:val="20A0087D"/>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5C6779"/>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9F22C8"/>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12157"/>
    <w:rsid w:val="26DB2072"/>
    <w:rsid w:val="26FB323B"/>
    <w:rsid w:val="270F1235"/>
    <w:rsid w:val="271D238B"/>
    <w:rsid w:val="27321E3A"/>
    <w:rsid w:val="273460AC"/>
    <w:rsid w:val="2737495D"/>
    <w:rsid w:val="27862FAB"/>
    <w:rsid w:val="278F67DD"/>
    <w:rsid w:val="27B778B7"/>
    <w:rsid w:val="27CE4805"/>
    <w:rsid w:val="27DC01C9"/>
    <w:rsid w:val="27EA6D62"/>
    <w:rsid w:val="28300784"/>
    <w:rsid w:val="28630E79"/>
    <w:rsid w:val="289E6725"/>
    <w:rsid w:val="28B51D15"/>
    <w:rsid w:val="29057EC1"/>
    <w:rsid w:val="290E28AF"/>
    <w:rsid w:val="292011C8"/>
    <w:rsid w:val="293757A5"/>
    <w:rsid w:val="293D0E03"/>
    <w:rsid w:val="293F5958"/>
    <w:rsid w:val="294A094A"/>
    <w:rsid w:val="29C52E87"/>
    <w:rsid w:val="29D41D29"/>
    <w:rsid w:val="29D9317B"/>
    <w:rsid w:val="29F04EAF"/>
    <w:rsid w:val="29F116D0"/>
    <w:rsid w:val="2A0241CA"/>
    <w:rsid w:val="2A0777DB"/>
    <w:rsid w:val="2A1E7E82"/>
    <w:rsid w:val="2A275287"/>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372A26"/>
    <w:rsid w:val="2C4628DA"/>
    <w:rsid w:val="2C622710"/>
    <w:rsid w:val="2C7A1A31"/>
    <w:rsid w:val="2C7C7D79"/>
    <w:rsid w:val="2C9466E2"/>
    <w:rsid w:val="2CAF6B04"/>
    <w:rsid w:val="2CB0279E"/>
    <w:rsid w:val="2CD12AE5"/>
    <w:rsid w:val="2D3A323B"/>
    <w:rsid w:val="2D4B55E5"/>
    <w:rsid w:val="2D53589F"/>
    <w:rsid w:val="2D7646A7"/>
    <w:rsid w:val="2DB057E9"/>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3E3F0B"/>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0687"/>
    <w:rsid w:val="320733C3"/>
    <w:rsid w:val="321C18F4"/>
    <w:rsid w:val="321C2B52"/>
    <w:rsid w:val="321F61EC"/>
    <w:rsid w:val="324B7ECC"/>
    <w:rsid w:val="324F04DB"/>
    <w:rsid w:val="32702FC0"/>
    <w:rsid w:val="327144B7"/>
    <w:rsid w:val="32BF6CA3"/>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2602E"/>
    <w:rsid w:val="37066B46"/>
    <w:rsid w:val="371119CF"/>
    <w:rsid w:val="371D55A0"/>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061EB"/>
    <w:rsid w:val="3E786B14"/>
    <w:rsid w:val="3E860F10"/>
    <w:rsid w:val="3E913ADC"/>
    <w:rsid w:val="3E922B85"/>
    <w:rsid w:val="3E922D59"/>
    <w:rsid w:val="3EA3700C"/>
    <w:rsid w:val="3EB02205"/>
    <w:rsid w:val="3EB47903"/>
    <w:rsid w:val="3ED7637C"/>
    <w:rsid w:val="3EDD7C11"/>
    <w:rsid w:val="3EDF0CF3"/>
    <w:rsid w:val="3EE8557E"/>
    <w:rsid w:val="3EED740D"/>
    <w:rsid w:val="3F2F6BD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9D023F"/>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5F36896"/>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32F29"/>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000177"/>
    <w:rsid w:val="494C141C"/>
    <w:rsid w:val="4987544D"/>
    <w:rsid w:val="49AE3D92"/>
    <w:rsid w:val="49C55CAD"/>
    <w:rsid w:val="49CA225D"/>
    <w:rsid w:val="4A1203E3"/>
    <w:rsid w:val="4A3C31F7"/>
    <w:rsid w:val="4A775569"/>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9C02EA"/>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A40AC1"/>
    <w:rsid w:val="4FE24AA2"/>
    <w:rsid w:val="50437224"/>
    <w:rsid w:val="50490678"/>
    <w:rsid w:val="505A512C"/>
    <w:rsid w:val="5098572F"/>
    <w:rsid w:val="50F018D3"/>
    <w:rsid w:val="50F47A17"/>
    <w:rsid w:val="513D38A6"/>
    <w:rsid w:val="51456AF4"/>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6702D4"/>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772CA"/>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0F5360"/>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E84599"/>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BB7576"/>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4F016E"/>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517A10"/>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CF369A"/>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2355C90"/>
    <w:rsid w:val="72370EF3"/>
    <w:rsid w:val="723E1C2C"/>
    <w:rsid w:val="724A0B59"/>
    <w:rsid w:val="724B3C7A"/>
    <w:rsid w:val="72522107"/>
    <w:rsid w:val="7258227F"/>
    <w:rsid w:val="72713F85"/>
    <w:rsid w:val="72725AF0"/>
    <w:rsid w:val="727E25B6"/>
    <w:rsid w:val="729F3DB1"/>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5F4062"/>
    <w:rsid w:val="74963A01"/>
    <w:rsid w:val="74DF558B"/>
    <w:rsid w:val="74EE1D1B"/>
    <w:rsid w:val="74F826B3"/>
    <w:rsid w:val="75067D82"/>
    <w:rsid w:val="75152359"/>
    <w:rsid w:val="752955C7"/>
    <w:rsid w:val="75473AB6"/>
    <w:rsid w:val="755A639D"/>
    <w:rsid w:val="75612341"/>
    <w:rsid w:val="75882465"/>
    <w:rsid w:val="75C43880"/>
    <w:rsid w:val="75CA48E7"/>
    <w:rsid w:val="75E027FD"/>
    <w:rsid w:val="763B3487"/>
    <w:rsid w:val="765629A7"/>
    <w:rsid w:val="76752691"/>
    <w:rsid w:val="76830E89"/>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765EEC"/>
    <w:rsid w:val="7A790CA9"/>
    <w:rsid w:val="7AB83F1D"/>
    <w:rsid w:val="7AD234FC"/>
    <w:rsid w:val="7AE2061C"/>
    <w:rsid w:val="7B002131"/>
    <w:rsid w:val="7B0864F6"/>
    <w:rsid w:val="7B1B16D3"/>
    <w:rsid w:val="7B2E6780"/>
    <w:rsid w:val="7B5D217A"/>
    <w:rsid w:val="7B614801"/>
    <w:rsid w:val="7B653F25"/>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4A53DC"/>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 w:val="20"/>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页眉 Char"/>
    <w:link w:val="18"/>
    <w:qFormat/>
    <w:uiPriority w:val="0"/>
    <w:rPr>
      <w:rFonts w:ascii="Arial" w:hAnsi="Arial" w:eastAsia="MS Mincho"/>
      <w:b/>
      <w:szCs w:val="24"/>
      <w:lang w:eastAsia="en-US"/>
    </w:rPr>
  </w:style>
  <w:style w:type="character" w:customStyle="1" w:styleId="35">
    <w:name w:val="批注主题 Char"/>
    <w:link w:val="22"/>
    <w:semiHidden/>
    <w:qFormat/>
    <w:uiPriority w:val="99"/>
    <w:rPr>
      <w:b/>
      <w:bCs/>
    </w:rPr>
  </w:style>
  <w:style w:type="character" w:customStyle="1" w:styleId="36">
    <w:name w:val="脚注文本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 w:val="20"/>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题注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 w:val="20"/>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8">
    <w:name w:val="批注文字 Char"/>
    <w:basedOn w:val="26"/>
    <w:link w:val="14"/>
    <w:qFormat/>
    <w:uiPriority w:val="0"/>
  </w:style>
  <w:style w:type="character" w:customStyle="1" w:styleId="49">
    <w:name w:val="正文文本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批注框文本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link w:val="114"/>
    <w:qFormat/>
    <w:uiPriority w:val="34"/>
    <w:pPr>
      <w:ind w:firstLine="420" w:firstLineChars="200"/>
    </w:pPr>
  </w:style>
  <w:style w:type="character" w:customStyle="1" w:styleId="114">
    <w:name w:val="List Paragraph Char"/>
    <w:basedOn w:val="26"/>
    <w:link w:val="113"/>
    <w:qFormat/>
    <w:locked/>
    <w:uiPriority w:val="34"/>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emf"/><Relationship Id="rId14" Type="http://schemas.openxmlformats.org/officeDocument/2006/relationships/oleObject" Target="embeddings/oleObject2.bin"/><Relationship Id="rId13" Type="http://schemas.openxmlformats.org/officeDocument/2006/relationships/image" Target="media/image7.emf"/><Relationship Id="rId12" Type="http://schemas.openxmlformats.org/officeDocument/2006/relationships/oleObject" Target="embeddings/oleObject1.bin"/><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1A1C2-CCCD-4AA0-836B-A011FB310C3F}">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14</Pages>
  <Words>4972</Words>
  <Characters>28345</Characters>
  <Lines>236</Lines>
  <Paragraphs>66</Paragraphs>
  <TotalTime>10</TotalTime>
  <ScaleCrop>false</ScaleCrop>
  <LinksUpToDate>false</LinksUpToDate>
  <CharactersWithSpaces>33251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2022-04-29T17:25:00Z</dcterms:created>
  <dc:creator>ZTE</dc:creator>
  <cp:lastModifiedBy>ZTE</cp:lastModifiedBy>
  <dcterms:modified xsi:type="dcterms:W3CDTF">2022-04-29T18:02:52Z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